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7252x1_def14a_100-regcov_pg1"/>
        <w:bookmarkStart w:id="1" w:name="ny20067252x1_def14a.htm"/>
        <w:bookmarkStart w:id="2" w:name="ksny20067252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No.  )</w:t>
      </w:r>
    </w:p>
    <w:tbl>
      <w:tblPr>
        <w:tblW w:w="4130" w:type="dxa"/>
        <w:jc w:val="left"/>
        <w:tblInd w:w="0" w:type="dxa"/>
        <w:tblLayout w:type="fixed"/>
        <w:tblCellMar>
          <w:top w:w="0" w:type="dxa"/>
          <w:left w:w="0" w:type="dxa"/>
          <w:bottom w:w="0" w:type="dxa"/>
          <w:right w:w="0" w:type="dxa"/>
        </w:tblCellMar>
      </w:tblPr>
      <w:tblGrid>
        <w:gridCol w:w="3440"/>
        <w:gridCol w:w="170"/>
        <w:gridCol w:w="170"/>
        <w:gridCol w:w="350"/>
      </w:tblGrid>
      <w:tr>
        <w:trPr/>
        <w:tc>
          <w:tcPr>
            <w:tcW w:w="3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r>
        <w:trPr/>
        <w:tc>
          <w:tcPr>
            <w:tcW w:w="3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155" w:type="dxa"/>
        <w:jc w:val="left"/>
        <w:tblInd w:w="0" w:type="dxa"/>
        <w:tblLayout w:type="fixed"/>
        <w:tblCellMar>
          <w:top w:w="0" w:type="dxa"/>
          <w:left w:w="0" w:type="dxa"/>
          <w:bottom w:w="0" w:type="dxa"/>
          <w:right w:w="0" w:type="dxa"/>
        </w:tblCellMar>
      </w:tblPr>
      <w:tblGrid>
        <w:gridCol w:w="6155"/>
      </w:tblGrid>
      <w:tr>
        <w:trPr/>
        <w:tc>
          <w:tcPr>
            <w:tcW w:w="6155" w:type="dxa"/>
            <w:tcBorders/>
            <w:vAlign w:val="center"/>
          </w:tcPr>
          <w:p>
            <w:pPr>
              <w:pStyle w:val="TableContents"/>
              <w:bidi w:val="0"/>
              <w:spacing w:before="0" w:after="0"/>
              <w:jc w:val="left"/>
              <w:rPr/>
            </w:pPr>
            <w:r>
              <w:rPr/>
              <w:t> </w:t>
            </w:r>
          </w:p>
        </w:tc>
      </w:tr>
      <w:tr>
        <w:trPr/>
        <w:tc>
          <w:tcPr>
            <w:tcW w:w="6155" w:type="dxa"/>
            <w:tcBorders/>
            <w:vAlign w:val="center"/>
          </w:tcPr>
          <w:p>
            <w:pPr>
              <w:pStyle w:val="TableContents"/>
              <w:bidi w:val="0"/>
              <w:spacing w:before="0" w:after="283"/>
              <w:jc w:val="center"/>
              <w:rPr>
                <w:rFonts w:ascii="Times New Roman;Times;serif" w:hAnsi="Times New Roman;Times;serif"/>
                <w:b/>
                <w:color w:val="000000"/>
                <w:sz w:val="44"/>
              </w:rPr>
            </w:pPr>
            <w:r>
              <w:rPr>
                <w:rFonts w:ascii="Times New Roman;Times;serif" w:hAnsi="Times New Roman;Times;serif"/>
                <w:b/>
                <w:color w:val="000000"/>
                <w:sz w:val="44"/>
              </w:rPr>
              <w:t>MoonLake Immunotherapeutics</w:t>
            </w:r>
          </w:p>
        </w:tc>
      </w:tr>
      <w:tr>
        <w:trPr/>
        <w:tc>
          <w:tcPr>
            <w:tcW w:w="6155" w:type="dxa"/>
            <w:tcBorders/>
            <w:vAlign w:val="center"/>
          </w:tcPr>
          <w:p>
            <w:pPr>
              <w:pStyle w:val="TableContents"/>
              <w:bidi w:val="0"/>
              <w:spacing w:before="0" w:after="0"/>
              <w:jc w:val="left"/>
              <w:rPr>
                <w:color w:val="000000"/>
              </w:rPr>
            </w:pPr>
            <w:r>
              <w:rPr>
                <w:color w:val="000000"/>
              </w:rPr>
              <w:t>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615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7252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22860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609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Dorfstrasse 29, Zug, Switzerland 6300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THE 2026 ANNUAL GENERAL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4,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MoonLake Immunotherapeutics: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NOTICE IS HEREBY GIVEN</w:t>
      </w:r>
      <w:r>
        <w:rPr>
          <w:rFonts w:ascii="Times New Roman;Times;serif" w:hAnsi="Times New Roman;Times;serif"/>
          <w:b w:val="false"/>
          <w:color w:val="000000"/>
          <w:sz w:val="20"/>
        </w:rPr>
        <w:t xml:space="preserve">, that MoonLake Immunotherapeutics (the “Company”) will hold its 2026 Annual General Meeting of Shareholders (the “Annual Meeting”) on Thursday, June 4, 2026, at 8:00 a.m. Eastern Time at the offices of Gibson, Dunn &amp; Crutcher LLP, located at 200 Park Avenue, New York, New York 10166. The Annual Meeting will be held for the following purposes, as more fully described in the accompanying proxy statement (the “Proxy Statement”):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the Class I director nominee named in the Proxy Statement to serve until the 2029 Annual General Meeting of Shareholders and until his successor is duly elected and qualified;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by ordinary resolution, the selection of Baker Tilly US, LLP as the Company’s independent registered public accounting firm for the year ending December 31, 2026; </w:t>
            </w:r>
          </w:p>
        </w:tc>
      </w:tr>
    </w:tbl>
    <w:tbl>
      <w:tblPr>
        <w:tblW w:w="9220" w:type="dxa"/>
        <w:jc w:val="left"/>
        <w:tblInd w:w="0" w:type="dxa"/>
        <w:tblLayout w:type="fixed"/>
        <w:tblCellMar>
          <w:top w:w="0" w:type="dxa"/>
          <w:left w:w="0" w:type="dxa"/>
          <w:bottom w:w="0" w:type="dxa"/>
          <w:right w:w="0" w:type="dxa"/>
        </w:tblCellMar>
      </w:tblPr>
      <w:tblGrid>
        <w:gridCol w:w="275"/>
        <w:gridCol w:w="894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the Company’s named executive officers; </w:t>
            </w:r>
          </w:p>
        </w:tc>
      </w:tr>
    </w:tbl>
    <w:tbl>
      <w:tblPr>
        <w:tblW w:w="8050" w:type="dxa"/>
        <w:jc w:val="left"/>
        <w:tblInd w:w="0" w:type="dxa"/>
        <w:tblLayout w:type="fixed"/>
        <w:tblCellMar>
          <w:top w:w="0" w:type="dxa"/>
          <w:left w:w="0" w:type="dxa"/>
          <w:bottom w:w="0" w:type="dxa"/>
          <w:right w:w="0" w:type="dxa"/>
        </w:tblCellMar>
      </w:tblPr>
      <w:tblGrid>
        <w:gridCol w:w="275"/>
        <w:gridCol w:w="777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and restatement of the Company’s 2022 Equity Incentive Plan; and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any other matters that may properly come before the Annual Meeting or any adjournments or postponements thereof.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has fixed April 9, 2026 as the record date. Only shareholders of record at the close of business on that date will be entitled to notice of, and to attend and vote at the Annual Meeting or any adjournment or postponement thereof.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 Dr. Jorge Santos da Silva</w:t>
      </w:r>
      <w:r>
        <w:rPr>
          <w:rFonts w:ascii="Times New Roman;Times;serif" w:hAnsi="Times New Roman;Times;serif"/>
          <w:color w:val="000000"/>
          <w:sz w:val="2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Jorge Santos da Silva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Zug, Switzerland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21, 2026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Annual Meeting, please vote as promptly as possible in order to ensure your representation at the Annual Meeting. You may vote online or, if you requested printed copies of the proxy materials, by telephone or by using the proxy card or voting instruction form provided with the printed proxy materials. </w:t>
      </w:r>
    </w:p>
    <w:p>
      <w:pPr>
        <w:pStyle w:val="HorizontalLine"/>
        <w:bidi w:val="0"/>
        <w:spacing w:before="200" w:after="200"/>
        <w:jc w:val="left"/>
        <w:rPr/>
      </w:pPr>
      <w:r>
        <w:rPr/>
      </w:r>
    </w:p>
    <w:p>
      <w:pPr>
        <w:pStyle w:val="TextBody"/>
        <w:bidi w:val="0"/>
        <w:jc w:val="left"/>
        <w:rPr/>
      </w:pPr>
      <w:hyperlink w:anchor="TOC">
        <w:bookmarkStart w:id="4" w:name="ny20067252x1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410"/>
        <w:gridCol w:w="170"/>
        <w:gridCol w:w="170"/>
        <w:gridCol w:w="455"/>
      </w:tblGrid>
      <w:tr>
        <w:trPr/>
        <w:tc>
          <w:tcPr>
            <w:tcW w:w="9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94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941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b/>
                  <w:color w:val="000000"/>
                  <w:sz w:val="20"/>
                </w:rPr>
                <w:t>QUESTIONS AND ANSWERS ABOUT THE PROXY MATERIALS AND VOTING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941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b/>
                  <w:color w:val="000000"/>
                  <w:sz w:val="20"/>
                </w:rPr>
                <w:t>PROPOSAL 1: ELECTION OF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5</w:t>
              </w:r>
            </w:hyperlink>
          </w:p>
        </w:tc>
      </w:tr>
      <w:tr>
        <w:trPr/>
        <w:tc>
          <w:tcPr>
            <w:tcW w:w="941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b/>
                  <w:color w:val="000000"/>
                  <w:sz w:val="20"/>
                </w:rPr>
                <w:t>PROPOSAL 2: RATIFICATION OF INDEPENDENT AUDITOR SELECTION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8</w:t>
              </w:r>
            </w:hyperlink>
          </w:p>
        </w:tc>
      </w:tr>
      <w:tr>
        <w:trPr/>
        <w:tc>
          <w:tcPr>
            <w:tcW w:w="9410"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b/>
                  <w:color w:val="000000"/>
                  <w:sz w:val="20"/>
                </w:rPr>
                <w:t>PROPOSAL 3: ADVISORY VOTE ON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10</w:t>
              </w:r>
            </w:hyperlink>
          </w:p>
        </w:tc>
      </w:tr>
      <w:tr>
        <w:trPr/>
        <w:tc>
          <w:tcPr>
            <w:tcW w:w="9410" w:type="dxa"/>
            <w:tcBorders/>
            <w:shd w:fill="CCEEFF" w:val="clear"/>
            <w:vAlign w:val="center"/>
          </w:tcPr>
          <w:p>
            <w:pPr>
              <w:pStyle w:val="TableContents"/>
              <w:bidi w:val="0"/>
              <w:spacing w:before="0" w:after="283"/>
              <w:ind w:left="200" w:right="0" w:hanging="200"/>
              <w:jc w:val="left"/>
              <w:rPr/>
            </w:pPr>
            <w:hyperlink w:anchor="tPROP4">
              <w:r>
                <w:rPr>
                  <w:rStyle w:val="InternetLink"/>
                  <w:rFonts w:ascii="Times New Roman;Times;serif" w:hAnsi="Times New Roman;Times;serif"/>
                  <w:b/>
                  <w:color w:val="000000"/>
                  <w:sz w:val="20"/>
                </w:rPr>
                <w:t>PROPOSAL 4: APPROVAL OF AN AMENDMENT AND RESTATEMENT OF THE COMPANY’S 2022 EQUITY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PROP4">
              <w:r>
                <w:rPr>
                  <w:rStyle w:val="InternetLink"/>
                  <w:rFonts w:ascii="Times New Roman;Times;serif" w:hAnsi="Times New Roman;Times;serif"/>
                  <w:color w:val="000000"/>
                  <w:sz w:val="20"/>
                </w:rPr>
                <w:t>11</w:t>
              </w:r>
            </w:hyperlink>
          </w:p>
        </w:tc>
      </w:tr>
      <w:tr>
        <w:trPr/>
        <w:tc>
          <w:tcPr>
            <w:tcW w:w="9410" w:type="dxa"/>
            <w:tcBorders/>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b/>
                  <w:color w:val="000000"/>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CG">
              <w:r>
                <w:rPr>
                  <w:rStyle w:val="InternetLink"/>
                  <w:rFonts w:ascii="Times New Roman;Times;serif" w:hAnsi="Times New Roman;Times;serif"/>
                  <w:color w:val="000000"/>
                  <w:sz w:val="20"/>
                </w:rPr>
                <w:t>17</w:t>
              </w:r>
            </w:hyperlink>
          </w:p>
        </w:tc>
      </w:tr>
      <w:tr>
        <w:trPr/>
        <w:tc>
          <w:tcPr>
            <w:tcW w:w="9410"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b/>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23</w:t>
              </w:r>
            </w:hyperlink>
          </w:p>
        </w:tc>
      </w:tr>
      <w:tr>
        <w:trPr/>
        <w:tc>
          <w:tcPr>
            <w:tcW w:w="9410"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b/>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EC">
              <w:r>
                <w:rPr>
                  <w:rStyle w:val="InternetLink"/>
                  <w:rFonts w:ascii="Times New Roman;Times;serif" w:hAnsi="Times New Roman;Times;serif"/>
                  <w:color w:val="000000"/>
                  <w:sz w:val="20"/>
                </w:rPr>
                <w:t>24</w:t>
              </w:r>
            </w:hyperlink>
          </w:p>
        </w:tc>
      </w:tr>
      <w:tr>
        <w:trPr/>
        <w:tc>
          <w:tcPr>
            <w:tcW w:w="9410" w:type="dxa"/>
            <w:tcBorders/>
            <w:shd w:fill="CCEEFF" w:val="clear"/>
            <w:vAlign w:val="center"/>
          </w:tcPr>
          <w:p>
            <w:pPr>
              <w:pStyle w:val="TableContents"/>
              <w:bidi w:val="0"/>
              <w:spacing w:before="0" w:after="283"/>
              <w:ind w:left="200" w:right="0" w:hanging="0"/>
              <w:jc w:val="left"/>
              <w:rPr/>
            </w:pPr>
            <w:hyperlink w:anchor="tCDA">
              <w:r>
                <w:rPr>
                  <w:rStyle w:val="InternetLink"/>
                  <w:rFonts w:ascii="Times New Roman;Times;serif" w:hAnsi="Times New Roman;Times;serif"/>
                  <w:b/>
                  <w:color w:val="000000"/>
                  <w:sz w:val="20"/>
                </w:rPr>
                <w:t>COMPENSATION DISCUSSION AND ANALYSIS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CDA">
              <w:r>
                <w:rPr>
                  <w:rStyle w:val="InternetLink"/>
                  <w:rFonts w:ascii="Times New Roman;Times;serif" w:hAnsi="Times New Roman;Times;serif"/>
                  <w:color w:val="000000"/>
                  <w:sz w:val="20"/>
                </w:rPr>
                <w:t>24</w:t>
              </w:r>
            </w:hyperlink>
          </w:p>
        </w:tc>
      </w:tr>
      <w:tr>
        <w:trPr/>
        <w:tc>
          <w:tcPr>
            <w:tcW w:w="9410" w:type="dxa"/>
            <w:tcBorders/>
            <w:vAlign w:val="center"/>
          </w:tcPr>
          <w:p>
            <w:pPr>
              <w:pStyle w:val="TableContents"/>
              <w:bidi w:val="0"/>
              <w:spacing w:before="0" w:after="283"/>
              <w:ind w:left="200" w:right="0" w:hanging="0"/>
              <w:jc w:val="left"/>
              <w:rPr/>
            </w:pPr>
            <w:hyperlink w:anchor="tRC">
              <w:r>
                <w:rPr>
                  <w:rStyle w:val="InternetLink"/>
                  <w:rFonts w:ascii="Times New Roman;Times;serif" w:hAnsi="Times New Roman;Times;serif"/>
                  <w:b/>
                  <w:color w:val="000000"/>
                  <w:sz w:val="20"/>
                </w:rPr>
                <w:t>REPORT OF THE 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RC">
              <w:r>
                <w:rPr>
                  <w:rStyle w:val="InternetLink"/>
                  <w:rFonts w:ascii="Times New Roman;Times;serif" w:hAnsi="Times New Roman;Times;serif"/>
                  <w:color w:val="000000"/>
                  <w:sz w:val="20"/>
                </w:rPr>
                <w:t>29</w:t>
              </w:r>
            </w:hyperlink>
          </w:p>
        </w:tc>
      </w:tr>
      <w:tr>
        <w:trPr/>
        <w:tc>
          <w:tcPr>
            <w:tcW w:w="9410" w:type="dxa"/>
            <w:tcBorders/>
            <w:shd w:fill="CCEEFF" w:val="clear"/>
            <w:vAlign w:val="center"/>
          </w:tcPr>
          <w:p>
            <w:pPr>
              <w:pStyle w:val="TableContents"/>
              <w:bidi w:val="0"/>
              <w:spacing w:before="0" w:after="283"/>
              <w:ind w:left="200" w:right="0" w:hanging="0"/>
              <w:jc w:val="left"/>
              <w:rPr/>
            </w:pPr>
            <w:hyperlink w:anchor="tSC">
              <w:r>
                <w:rPr>
                  <w:rStyle w:val="InternetLink"/>
                  <w:rFonts w:ascii="Times New Roman;Times;serif" w:hAnsi="Times New Roman;Times;serif"/>
                  <w:b/>
                  <w:color w:val="000000"/>
                  <w:sz w:val="20"/>
                </w:rPr>
                <w:t>2025 SUMMARY COMPENSATION TABLE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SC">
              <w:r>
                <w:rPr>
                  <w:rStyle w:val="InternetLink"/>
                  <w:rFonts w:ascii="Times New Roman;Times;serif" w:hAnsi="Times New Roman;Times;serif"/>
                  <w:color w:val="000000"/>
                  <w:sz w:val="20"/>
                </w:rPr>
                <w:t>30</w:t>
              </w:r>
            </w:hyperlink>
          </w:p>
        </w:tc>
      </w:tr>
      <w:tr>
        <w:trPr/>
        <w:tc>
          <w:tcPr>
            <w:tcW w:w="9410" w:type="dxa"/>
            <w:tcBorders/>
            <w:vAlign w:val="center"/>
          </w:tcPr>
          <w:p>
            <w:pPr>
              <w:pStyle w:val="TableContents"/>
              <w:bidi w:val="0"/>
              <w:spacing w:before="0" w:after="283"/>
              <w:ind w:left="200" w:right="0" w:hanging="0"/>
              <w:jc w:val="left"/>
              <w:rPr/>
            </w:pPr>
            <w:hyperlink w:anchor="tGP">
              <w:r>
                <w:rPr>
                  <w:rStyle w:val="InternetLink"/>
                  <w:rFonts w:ascii="Times New Roman;Times;serif" w:hAnsi="Times New Roman;Times;serif"/>
                  <w:b/>
                  <w:color w:val="000000"/>
                  <w:sz w:val="20"/>
                </w:rPr>
                <w:t>2025 GRANTS OF PLAN-BASED AWARDS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GP">
              <w:r>
                <w:rPr>
                  <w:rStyle w:val="InternetLink"/>
                  <w:rFonts w:ascii="Times New Roman;Times;serif" w:hAnsi="Times New Roman;Times;serif"/>
                  <w:color w:val="000000"/>
                  <w:sz w:val="20"/>
                </w:rPr>
                <w:t>31</w:t>
              </w:r>
            </w:hyperlink>
          </w:p>
        </w:tc>
      </w:tr>
      <w:tr>
        <w:trPr/>
        <w:tc>
          <w:tcPr>
            <w:tcW w:w="9410" w:type="dxa"/>
            <w:tcBorders/>
            <w:shd w:fill="CCEEFF" w:val="clear"/>
            <w:vAlign w:val="center"/>
          </w:tcPr>
          <w:p>
            <w:pPr>
              <w:pStyle w:val="TableContents"/>
              <w:bidi w:val="0"/>
              <w:spacing w:before="0" w:after="283"/>
              <w:ind w:left="200" w:right="0" w:hanging="0"/>
              <w:jc w:val="left"/>
              <w:rPr/>
            </w:pPr>
            <w:hyperlink w:anchor="tOE">
              <w:r>
                <w:rPr>
                  <w:rStyle w:val="InternetLink"/>
                  <w:rFonts w:ascii="Times New Roman;Times;serif" w:hAnsi="Times New Roman;Times;serif"/>
                  <w:b/>
                  <w:color w:val="000000"/>
                  <w:sz w:val="20"/>
                </w:rPr>
                <w:t>OUTSTANDING EQUITY AWARDS AT 2025 FISCAL YEAR END TABLE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OE">
              <w:r>
                <w:rPr>
                  <w:rStyle w:val="InternetLink"/>
                  <w:rFonts w:ascii="Times New Roman;Times;serif" w:hAnsi="Times New Roman;Times;serif"/>
                  <w:color w:val="000000"/>
                  <w:sz w:val="20"/>
                </w:rPr>
                <w:t>31</w:t>
              </w:r>
            </w:hyperlink>
          </w:p>
        </w:tc>
      </w:tr>
      <w:tr>
        <w:trPr/>
        <w:tc>
          <w:tcPr>
            <w:tcW w:w="9410" w:type="dxa"/>
            <w:tcBorders/>
            <w:vAlign w:val="center"/>
          </w:tcPr>
          <w:p>
            <w:pPr>
              <w:pStyle w:val="TableContents"/>
              <w:bidi w:val="0"/>
              <w:spacing w:before="0" w:after="283"/>
              <w:ind w:left="200" w:right="0" w:hanging="0"/>
              <w:jc w:val="left"/>
              <w:rPr/>
            </w:pPr>
            <w:hyperlink w:anchor="tOES">
              <w:r>
                <w:rPr>
                  <w:rStyle w:val="InternetLink"/>
                  <w:rFonts w:ascii="Times New Roman;Times;serif" w:hAnsi="Times New Roman;Times;serif"/>
                  <w:b/>
                  <w:color w:val="000000"/>
                  <w:sz w:val="20"/>
                </w:rPr>
                <w:t>OPTION EXERCISES AND STOCK VESTED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OES">
              <w:r>
                <w:rPr>
                  <w:rStyle w:val="InternetLink"/>
                  <w:rFonts w:ascii="Times New Roman;Times;serif" w:hAnsi="Times New Roman;Times;serif"/>
                  <w:color w:val="000000"/>
                  <w:sz w:val="20"/>
                </w:rPr>
                <w:t>31</w:t>
              </w:r>
            </w:hyperlink>
          </w:p>
        </w:tc>
      </w:tr>
      <w:tr>
        <w:trPr/>
        <w:tc>
          <w:tcPr>
            <w:tcW w:w="9410" w:type="dxa"/>
            <w:tcBorders/>
            <w:shd w:fill="CCEEFF" w:val="clear"/>
            <w:vAlign w:val="center"/>
          </w:tcPr>
          <w:p>
            <w:pPr>
              <w:pStyle w:val="TableContents"/>
              <w:bidi w:val="0"/>
              <w:spacing w:before="0" w:after="283"/>
              <w:ind w:left="200" w:right="0" w:hanging="0"/>
              <w:jc w:val="left"/>
              <w:rPr/>
            </w:pPr>
            <w:hyperlink w:anchor="tFYP">
              <w:r>
                <w:rPr>
                  <w:rStyle w:val="InternetLink"/>
                  <w:rFonts w:ascii="Times New Roman;Times;serif" w:hAnsi="Times New Roman;Times;serif"/>
                  <w:b/>
                  <w:color w:val="000000"/>
                  <w:sz w:val="20"/>
                </w:rPr>
                <w:t>FISCAL YEAR 2025 PENSION BENEFITS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FYP">
              <w:r>
                <w:rPr>
                  <w:rStyle w:val="InternetLink"/>
                  <w:rFonts w:ascii="Times New Roman;Times;serif" w:hAnsi="Times New Roman;Times;serif"/>
                  <w:color w:val="000000"/>
                  <w:sz w:val="20"/>
                </w:rPr>
                <w:t>32</w:t>
              </w:r>
            </w:hyperlink>
          </w:p>
        </w:tc>
      </w:tr>
      <w:tr>
        <w:trPr/>
        <w:tc>
          <w:tcPr>
            <w:tcW w:w="9410" w:type="dxa"/>
            <w:tcBorders/>
            <w:vAlign w:val="center"/>
          </w:tcPr>
          <w:p>
            <w:pPr>
              <w:pStyle w:val="TableContents"/>
              <w:bidi w:val="0"/>
              <w:spacing w:before="0" w:after="283"/>
              <w:ind w:left="200" w:right="0" w:hanging="0"/>
              <w:jc w:val="left"/>
              <w:rPr/>
            </w:pPr>
            <w:hyperlink w:anchor="tPR">
              <w:r>
                <w:rPr>
                  <w:rStyle w:val="InternetLink"/>
                  <w:rFonts w:ascii="Times New Roman;Times;serif" w:hAnsi="Times New Roman;Times;serif"/>
                  <w:b/>
                  <w:color w:val="000000"/>
                  <w:sz w:val="20"/>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PR">
              <w:r>
                <w:rPr>
                  <w:rStyle w:val="InternetLink"/>
                  <w:rFonts w:ascii="Times New Roman;Times;serif" w:hAnsi="Times New Roman;Times;serif"/>
                  <w:color w:val="000000"/>
                  <w:sz w:val="20"/>
                </w:rPr>
                <w:t>34</w:t>
              </w:r>
            </w:hyperlink>
          </w:p>
        </w:tc>
      </w:tr>
      <w:tr>
        <w:trPr/>
        <w:tc>
          <w:tcPr>
            <w:tcW w:w="9410" w:type="dxa"/>
            <w:tcBorders/>
            <w:shd w:fill="CCEEFF" w:val="clear"/>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b/>
                  <w:color w:val="000000"/>
                  <w:sz w:val="20"/>
                </w:rPr>
                <w:t>PAY VERSUS PERFORMANCE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PVP">
              <w:r>
                <w:rPr>
                  <w:rStyle w:val="InternetLink"/>
                  <w:rFonts w:ascii="Times New Roman;Times;serif" w:hAnsi="Times New Roman;Times;serif"/>
                  <w:color w:val="000000"/>
                  <w:sz w:val="20"/>
                </w:rPr>
                <w:t>34</w:t>
              </w:r>
            </w:hyperlink>
          </w:p>
        </w:tc>
      </w:tr>
      <w:tr>
        <w:trPr/>
        <w:tc>
          <w:tcPr>
            <w:tcW w:w="9410" w:type="dxa"/>
            <w:tcBorders/>
            <w:vAlign w:val="center"/>
          </w:tcPr>
          <w:p>
            <w:pPr>
              <w:pStyle w:val="TableContents"/>
              <w:bidi w:val="0"/>
              <w:spacing w:before="0" w:after="283"/>
              <w:ind w:left="0" w:right="0" w:hanging="0"/>
              <w:jc w:val="left"/>
              <w:rPr/>
            </w:pPr>
            <w:hyperlink w:anchor="tCIA">
              <w:r>
                <w:rPr>
                  <w:rStyle w:val="InternetLink"/>
                  <w:rFonts w:ascii="Times New Roman;Times;serif" w:hAnsi="Times New Roman;Times;serif"/>
                  <w:b/>
                  <w:color w:val="000000"/>
                  <w:sz w:val="20"/>
                </w:rPr>
                <w:t>CERTAIN INFORMATION ABOUT OUR ORDINARY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CIA">
              <w:r>
                <w:rPr>
                  <w:rStyle w:val="InternetLink"/>
                  <w:rFonts w:ascii="Times New Roman;Times;serif" w:hAnsi="Times New Roman;Times;serif"/>
                  <w:color w:val="000000"/>
                  <w:sz w:val="20"/>
                </w:rPr>
                <w:t>38</w:t>
              </w:r>
            </w:hyperlink>
          </w:p>
        </w:tc>
      </w:tr>
      <w:tr>
        <w:trPr/>
        <w:tc>
          <w:tcPr>
            <w:tcW w:w="9410" w:type="dxa"/>
            <w:tcBorders/>
            <w:shd w:fill="CCEEFF" w:val="clear"/>
            <w:vAlign w:val="center"/>
          </w:tcPr>
          <w:p>
            <w:pPr>
              <w:pStyle w:val="TableContents"/>
              <w:bidi w:val="0"/>
              <w:spacing w:before="0" w:after="283"/>
              <w:ind w:left="0" w:right="0" w:hanging="0"/>
              <w:jc w:val="left"/>
              <w:rPr/>
            </w:pPr>
            <w:hyperlink w:anchor="tCR">
              <w:r>
                <w:rPr>
                  <w:rStyle w:val="InternetLink"/>
                  <w:rFonts w:ascii="Times New Roman;Times;serif" w:hAnsi="Times New Roman;Times;serif"/>
                  <w:b/>
                  <w:color w:val="000000"/>
                  <w:sz w:val="20"/>
                </w:rPr>
                <w:t>CERTAIN RELATIONSHIPS AND RELATED 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CR">
              <w:r>
                <w:rPr>
                  <w:rStyle w:val="InternetLink"/>
                  <w:rFonts w:ascii="Times New Roman;Times;serif" w:hAnsi="Times New Roman;Times;serif"/>
                  <w:color w:val="000000"/>
                  <w:sz w:val="20"/>
                </w:rPr>
                <w:t>40</w:t>
              </w:r>
            </w:hyperlink>
          </w:p>
        </w:tc>
      </w:tr>
      <w:tr>
        <w:trPr/>
        <w:tc>
          <w:tcPr>
            <w:tcW w:w="941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b/>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41</w:t>
              </w:r>
            </w:hyperlink>
          </w:p>
        </w:tc>
      </w:tr>
      <w:tr>
        <w:trPr/>
        <w:tc>
          <w:tcPr>
            <w:tcW w:w="9410" w:type="dxa"/>
            <w:tcBorders/>
            <w:shd w:fill="CCEEFF" w:val="clear"/>
            <w:vAlign w:val="center"/>
          </w:tcPr>
          <w:p>
            <w:pPr>
              <w:pStyle w:val="TableContents"/>
              <w:bidi w:val="0"/>
              <w:spacing w:before="0" w:after="283"/>
              <w:ind w:left="200" w:right="0" w:hanging="200"/>
              <w:jc w:val="left"/>
              <w:rPr/>
            </w:pPr>
            <w:hyperlink w:anchor="tAPPA">
              <w:r>
                <w:rPr>
                  <w:rStyle w:val="InternetLink"/>
                  <w:rFonts w:ascii="Times New Roman;Times;serif" w:hAnsi="Times New Roman;Times;serif"/>
                  <w:b/>
                  <w:color w:val="000000"/>
                  <w:sz w:val="20"/>
                </w:rPr>
                <w:t>APPENDIX A: MOONLAKE IMMUNOTHERAPEUTICS AMENDED AND RESTATED 2022 EQUITY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A-1</w:t>
              </w:r>
            </w:hyperlink>
          </w:p>
        </w:tc>
      </w:tr>
      <w:tr>
        <w:trPr/>
        <w:tc>
          <w:tcPr>
            <w:tcW w:w="94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7" w:name="ny20067252x1_def14a_103-legal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Important Notice Regarding the Availability of Proxy Materials for the 2026 Annual General Meeting of Shareholders to Be Held on June 4, 2026</w:t>
      </w:r>
      <w:r>
        <w:rPr>
          <w:rFonts w:ascii="Times New Roman;Times;serif" w:hAnsi="Times New Roman;Times;serif"/>
          <w:b w:val="false"/>
          <w:i w:val="false"/>
          <w:caps w:val="false"/>
          <w:smallCaps w:val="false"/>
          <w:color w:val="000000"/>
          <w:sz w:val="20"/>
        </w:rPr>
        <w:t xml:space="preserve">. The Proxy Statement and Annual Report for the year ended December 31, 2025 are available at </w:t>
      </w:r>
      <w:r>
        <w:rPr>
          <w:rFonts w:ascii="Times New Roman;Times;serif" w:hAnsi="Times New Roman;Times;serif"/>
          <w:b w:val="false"/>
          <w:i/>
          <w:color w:val="000000"/>
          <w:sz w:val="20"/>
        </w:rPr>
        <w:t>www.proxyvote.com.</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Forward-Looking Statements</w:t>
      </w:r>
      <w:r>
        <w:rPr>
          <w:rFonts w:ascii="Times New Roman;Times;serif" w:hAnsi="Times New Roman;Times;serif"/>
          <w:b w:val="false"/>
          <w:i w:val="false"/>
          <w:caps w:val="false"/>
          <w:smallCaps w:val="false"/>
          <w:color w:val="000000"/>
          <w:sz w:val="20"/>
        </w:rPr>
        <w:t xml:space="preserve">. The Proxy Statement may contain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 included in the Proxy Statement, including statements about the Company’s Board of Directors, corporate governance practices, executive compensation program and equity compensation utilization, are forward-looking statements.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involve known and unknown risks, uncertainties and other factors that could cause our actual results or outcomes to differ materially from the forward-looking statements expressed or implied in the Proxy Statement. Such risks, uncertainties and other factors include those risks described in “Risk Factors” and “Management’s Discussion and Analysis of Financial Condition and Results of Operations” in the Company’s most recent Annual Report on Form 10-K filed with the U.S. Securities and Exchange Commission (“SEC”) and other subsequent documents we file with the SEC. The Company expressly disclaims any obligation to update or alter any statements whether as a result of new information, future events or otherwise, except as required by law.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Website References</w:t>
      </w:r>
      <w:r>
        <w:rPr>
          <w:rFonts w:ascii="Times New Roman;Times;serif" w:hAnsi="Times New Roman;Times;serif"/>
          <w:b w:val="false"/>
          <w:i w:val="false"/>
          <w:caps w:val="false"/>
          <w:smallCaps w:val="false"/>
          <w:color w:val="000000"/>
          <w:sz w:val="20"/>
        </w:rPr>
        <w:t xml:space="preserve">. Website references throughout this document are inactive textual references and provided for convenience only, and the content on the referenced websites is not incorporated herein by reference and does not constitute a part of the Proxy Statement.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Use of Trademarks</w:t>
      </w:r>
      <w:r>
        <w:rPr>
          <w:rFonts w:ascii="Times New Roman;Times;serif" w:hAnsi="Times New Roman;Times;serif"/>
          <w:b w:val="false"/>
          <w:i w:val="false"/>
          <w:caps w:val="false"/>
          <w:smallCaps w:val="false"/>
          <w:color w:val="000000"/>
          <w:sz w:val="20"/>
        </w:rPr>
        <w:t xml:space="preserve">. MoonLake is the trademark of MoonLake Immunotherapeutics. Other names and brands may be claimed as the property of others.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8" w:name="ny20067252x1_def14a_104-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28600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609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Dorfstrasse 29, Zug, Switzerland 6300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GENERAL MEETING OF SHAREHOLDERS </w:t>
      </w:r>
    </w:p>
    <w:p>
      <w:pPr>
        <w:pStyle w:val="TextBody"/>
        <w:bidi w:val="0"/>
        <w:spacing w:before="250" w:after="283"/>
        <w:jc w:val="center"/>
        <w:rPr>
          <w:rFonts w:ascii="Times New Roman;Times;serif" w:hAnsi="Times New Roman;Times;serif"/>
          <w:b/>
          <w:color w:val="000000"/>
          <w:sz w:val="20"/>
        </w:rPr>
      </w:pPr>
      <w:bookmarkStart w:id="9" w:name="tQA"/>
      <w:bookmarkEnd w:id="9"/>
      <w:r>
        <w:rPr>
          <w:rFonts w:ascii="Times New Roman;Times;serif" w:hAnsi="Times New Roman;Times;serif"/>
          <w:b/>
          <w:color w:val="000000"/>
          <w:sz w:val="20"/>
        </w:rPr>
        <w:t xml:space="preserve">QUESTIONS AND ANSWERS ABOUT THE PROXY MATERIALS AND VOTING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These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making these proxy materials available to you in connection with the solicitation of proxies by the Board of Directors (the “Board”) of MoonLake Immunotherapeutics (“we”, “us”, “our” or the “Company”) for use at the 2026 Annual General Meeting of Shareholders (the “Annual Meeting”) to be held on June 4, 2026 at 8:00 a.m. Eastern Time, or at any other time following adjournment or postponement thereof. You are invited to attend the Annual Meeting at the offices of Gibson, Dunn &amp; Crutcher LLP, located at 200 Park Avenue, New York, New York 10166 and to vote on the proposals described in this Proxy Statement. The proxy materials are first being made available to our shareholders on or about April 21, 2026.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Did I Receive a Notice of Internet Availability?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U.S. Securities and Exchange Commission (“SEC”) rules, we are furnishing the proxy materials to our shareholders primarily via the Internet instead of mailing printed copies. This process allows us to expedite our shareholders’ receipt of proxy materials, lower the costs of printing and mailing the proxy materials and reduce the environmental impact of our Annual Meeting. If you received a Notice of Internet Availability of Proxy Materials (the “Notice”), you will not receive a printed copy of the proxy materials unless you request one. The Notice provides instructions on how to access the proxy materials for the Annual Meeting via the Internet, how to request a printed set of proxy materials and how to vote your shares.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shareholders of record at the close of business on April 9, 2026 (the “Record Date”) are entitled to notice of the Annual Meeting and to vote on the proposals described in this Proxy Statement. At the close of business on the Record Date, 72,852,170 shares of our Class A Ordinary Shares were issued and outstanding. Each Class A Ordinary Share is entitled to one vote on each proposal to be voted on at the Annual Meeting.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Holding Shares as a Registered Shareholder and as a Beneficial Owner?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Shareholder: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with our transfer agent, Continental Stock Transfer &amp; Trust Company, you are considered to be, with respect to those shares, the registered shareholder, and these proxy materials are being sent directly to you by us.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a broker, fiduciary or custodian, you are considered the beneficial owner of shares held in “street name”, and these proxy materials are being forwarded to you from that broker, fiduciary or custodian.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to be voted on at the Annual Meeting are as follows: </w:t>
      </w:r>
    </w:p>
    <w:tbl>
      <w:tblPr>
        <w:tblW w:w="10105" w:type="dxa"/>
        <w:jc w:val="left"/>
        <w:tblInd w:w="0" w:type="dxa"/>
        <w:tblLayout w:type="fixed"/>
        <w:tblCellMar>
          <w:top w:w="0" w:type="dxa"/>
          <w:left w:w="0" w:type="dxa"/>
          <w:bottom w:w="0" w:type="dxa"/>
          <w:right w:w="0" w:type="dxa"/>
        </w:tblCellMar>
      </w:tblPr>
      <w:tblGrid>
        <w:gridCol w:w="275"/>
        <w:gridCol w:w="98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Election of the Class I director nominee to serve until the 2029 Annual General Meeting of Shareholders (“Proposal 1”);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Ratification, by ordinary resolution, of the selection of Baker Tilly US, LLP as the Company’s independent auditor for 2026 (“Proposal 2”);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67252x1_def14a_104-proxy_pg2"/>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on a non-binding, advisory basis, the compensation of the Company’s named executive officers (“Proposal 3”); and </w:t>
            </w:r>
          </w:p>
        </w:tc>
      </w:tr>
    </w:tbl>
    <w:tbl>
      <w:tblPr>
        <w:tblW w:w="8935" w:type="dxa"/>
        <w:jc w:val="left"/>
        <w:tblInd w:w="0" w:type="dxa"/>
        <w:tblLayout w:type="fixed"/>
        <w:tblCellMar>
          <w:top w:w="0" w:type="dxa"/>
          <w:left w:w="0" w:type="dxa"/>
          <w:bottom w:w="0" w:type="dxa"/>
          <w:right w:w="0" w:type="dxa"/>
        </w:tblCellMar>
      </w:tblPr>
      <w:tblGrid>
        <w:gridCol w:w="275"/>
        <w:gridCol w:w="866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an amendment and restatement of the Company’s 2022 Equity Incentive Plan (“Proposal 4”).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recommends that you vote your shares “</w:t>
      </w:r>
      <w:r>
        <w:rPr>
          <w:rFonts w:ascii="Times New Roman;Times;serif" w:hAnsi="Times New Roman;Times;serif"/>
          <w:b/>
          <w:color w:val="000000"/>
          <w:sz w:val="20"/>
        </w:rPr>
        <w:t>FOR</w:t>
      </w:r>
      <w:r>
        <w:rPr>
          <w:rFonts w:ascii="Times New Roman;Times;serif" w:hAnsi="Times New Roman;Times;serif"/>
          <w:color w:val="000000"/>
          <w:sz w:val="20"/>
        </w:rPr>
        <w:t>” the director nominee in Proposal 1 and “</w:t>
      </w:r>
      <w:r>
        <w:rPr>
          <w:rFonts w:ascii="Times New Roman;Times;serif" w:hAnsi="Times New Roman;Times;serif"/>
          <w:b/>
          <w:color w:val="000000"/>
          <w:sz w:val="20"/>
        </w:rPr>
        <w:t>FOR</w:t>
      </w:r>
      <w:r>
        <w:rPr>
          <w:rFonts w:ascii="Times New Roman;Times;serif" w:hAnsi="Times New Roman;Times;serif"/>
          <w:color w:val="000000"/>
          <w:sz w:val="20"/>
        </w:rPr>
        <w:t xml:space="preserve">” Proposals 2, 3 and 4.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filing this Proxy Statement, the Board knows of no other matters that will be presented for consideration at the Annual Meeting. If any other matters are properly brought before the Annual Meeting, it is the intention of the persons named as proxies in the proxy card to vote on such matters in accordance with their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held in different accounts. Please cast your vote with respect to each set of proxy materials that you receive to ensure that all of your shares are voted.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Annual Meeting, we recommend that you also submit your vote as early as possible in advance so that your vote will be counted if you later decide not to, or are unable to, attend the Annual Meeting.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Shareholder: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registered shareholder, you may vote your shares in person at the Annual Meeting or by proxy in advance of the Annual Meeting by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or, if you requested paper copies of the proxy materials, by completing and mailing a proxy card or by telephone (at 800-690-6903).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you may direct your broker, fiduciary or custodian how to vote in advance of the Annual Meeting by following the instructions they provide or, if you want to vote your shares in person at the Annual Meeting, you should contact your bank, broker or other nominee (preferably at least five days before the Annual Meeting) and obtain a “legal proxy”.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Do Not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Shareholder: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registered shareholder and do not vote in one of the ways described above, your shares will not be voted at the Annual Meeting and will not be counted toward the quorum requirement.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we urge you to direct your broker, fiduciary or custodian how to vote your shares on all proposals to ensure that your vote is counted.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Sign and Return a Proxy Card or Otherwise Vote but Do Not Indicate Specific Choices?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Shareholder: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shares represented by each signed and returned proxy will be voted at the Annual Meeting by the persons named as proxies in the proxy card in accordance with the instructions indicated on the proxy card. However, if you are the registered shareholder and you sign and return your proxy card without giving specific instructions, the persons named as proxies in the proxy card will vote your shares in accordance with the recommendations of the Board. Your shares will be counted toward the quorum requirement.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1" w:name="ny20067252x1_def14a_104-proxy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resulting in a broker non-vote with respect to such proposals.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Shareholder: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registered shareholder, you may revoke your proxy at any time before the final vote at the Annual Meeting in any one of the following ways: </w:t>
      </w:r>
    </w:p>
    <w:tbl>
      <w:tblPr>
        <w:tblW w:w="8950" w:type="dxa"/>
        <w:jc w:val="left"/>
        <w:tblInd w:w="0" w:type="dxa"/>
        <w:tblLayout w:type="fixed"/>
        <w:tblCellMar>
          <w:top w:w="0" w:type="dxa"/>
          <w:left w:w="0" w:type="dxa"/>
          <w:bottom w:w="0" w:type="dxa"/>
          <w:right w:w="0" w:type="dxa"/>
        </w:tblCellMar>
      </w:tblPr>
      <w:tblGrid>
        <w:gridCol w:w="275"/>
        <w:gridCol w:w="867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complete and submit a new proxy card, but it must bear a later date than the original proxy card; </w:t>
            </w:r>
          </w:p>
        </w:tc>
      </w:tr>
    </w:tbl>
    <w:tbl>
      <w:tblPr>
        <w:tblW w:w="6040" w:type="dxa"/>
        <w:jc w:val="left"/>
        <w:tblInd w:w="0" w:type="dxa"/>
        <w:tblLayout w:type="fixed"/>
        <w:tblCellMar>
          <w:top w:w="0" w:type="dxa"/>
          <w:left w:w="0" w:type="dxa"/>
          <w:bottom w:w="0" w:type="dxa"/>
          <w:right w:w="0" w:type="dxa"/>
        </w:tblCellMar>
      </w:tblPr>
      <w:tblGrid>
        <w:gridCol w:w="275"/>
        <w:gridCol w:w="576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new proxy instructions via telephone or the Internet;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our Corporate Secretary at the address set forth on the first page of this Proxy Statement; or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vote in person at the Annual Meeting. However, your attendance at the Annual Meeting will not, by itself, revoke your proxy.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last submitted vote is the one that will be counted.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you must follow the instructions you receive from your broker, fiduciary or custodian with respect to changing your vote.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shares outstanding must be present in person or represented by proxy at the Annual Meeting to constitute a quorum. A quorum is required to transact business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 the quorum only if you submit a valid proxy (or a valid proxy is submitted on your behalf by your broker, fiduciary or custodian) or if you attend the Annual Meeting. Abstentions and broker non-votes will be counted toward the quorum requirement. If there is no quorum within 30 minutes of the meeting start time, unless otherwise determined by the Board of Directors, the Annual Meeting will be adjourned to the same day in the next week at the same time and place and, if there is no quorum within 30 minutes of the adjourned meeting start time, the shares present in person or represented by proxy at the adjourned meeting shall constitute a quorum.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Required to Approve Each Proposal and How Are Votes Counted?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Votes will be counted by Broadridge Financial Solutions, the Inspector of Elections appointed for the Annual Meeting.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Election of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Annual Meeting, the director will be elected by a plurality of the votes cast. This means that the nominee who receives the highest number of votes cast “</w:t>
      </w:r>
      <w:r>
        <w:rPr>
          <w:rFonts w:ascii="Times New Roman;Times;serif" w:hAnsi="Times New Roman;Times;serif"/>
          <w:b/>
          <w:color w:val="000000"/>
          <w:sz w:val="20"/>
        </w:rPr>
        <w:t>FOR</w:t>
      </w:r>
      <w:r>
        <w:rPr>
          <w:rFonts w:ascii="Times New Roman;Times;serif" w:hAnsi="Times New Roman;Times;serif"/>
          <w:color w:val="000000"/>
          <w:sz w:val="20"/>
        </w:rPr>
        <w:t xml:space="preserve">” is elected as the Class I director. Broker non-votes, if any, and votes that are withheld will not be counted as votes cast on the matter and will have no effect on the outcome of the election. Shareholders do not have cumulative voting rights for the election of directors.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simple majority of the votes cast at the Annual Meeting is required to approve Proposals 2, 3 and 4. Broker non-votes, if any, and abstentions will not be counted as votes cast on these matters and will have no effect on the outcome of these matters.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May Attend and Participate in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shareholders as of the Record Date are entitled to attend the Annual Meeting in person. Attendees should bring the appropriate materials described below in order to be admitted to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2" w:name="ny20067252x1_def14a_104-proxy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Natural Persons. </w:t>
      </w:r>
      <w:r>
        <w:rPr>
          <w:rFonts w:ascii="Times New Roman;Times;serif" w:hAnsi="Times New Roman;Times;serif"/>
          <w:i w:val="false"/>
          <w:caps w:val="false"/>
          <w:smallCaps w:val="false"/>
          <w:color w:val="000000"/>
          <w:sz w:val="20"/>
        </w:rPr>
        <w:t xml:space="preserve">If you are a registered shareholder, your name will be on a list, and you will be able to gain entry with a government-issued photo identification, such as a driver’s license, state-issued ID card or passport. If you are the beneficial owner, in order to gain entry you must present a government-issued photo identification and proof of beneficial share ownership as of the Record Date that includes the same name that is on your government-issued photo identification. Acceptable forms of proof of beneficial share ownership include your Notice, a copy of your proxy card or voting instruction form, if you received one, or an account or brokerage statement showing share ownership as of the Record Date.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Entities. </w:t>
      </w:r>
      <w:r>
        <w:rPr>
          <w:rFonts w:ascii="Times New Roman;Times;serif" w:hAnsi="Times New Roman;Times;serif"/>
          <w:i w:val="false"/>
          <w:caps w:val="false"/>
          <w:smallCaps w:val="false"/>
          <w:color w:val="000000"/>
          <w:sz w:val="20"/>
        </w:rPr>
        <w:t xml:space="preserve">If you are a director, officer, trustee or other legal representative of an entity that owns shares of the Company, you must present a government-issued photo identification, evidence that you are authorized to act on behalf of the entity at the Annual Meeting and, if the entity is a beneficial owner, proof of the entity’s beneficial share ownership as of the Record Date.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Non-Shareholders</w:t>
      </w:r>
      <w:r>
        <w:rPr>
          <w:rFonts w:ascii="Times New Roman;Times;serif" w:hAnsi="Times New Roman;Times;serif"/>
          <w:i w:val="false"/>
          <w:caps w:val="false"/>
          <w:smallCaps w:val="false"/>
          <w:color w:val="000000"/>
          <w:sz w:val="20"/>
        </w:rPr>
        <w:t xml:space="preserve">. If you are not a shareholder and are not the representative of an entity that owns shares of the Company, you will be entitled to admission only if you are a proxy holder attending in lieu of a shareholder. To gain entry, you must present a government-issued photo identification and either a valid proxy from a registered shareholder authorizing you to vote the shareholder’s shares or, if you are a proxy holder for a beneficial shareholder, a valid legal proxy from the record holder or the bank, brokerage firm or other nominee that holds shares on behalf of the beneficial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offices of Gibson, Dunn &amp; Crutcher LLP are located at 200 Park Avenue, New York, New York 10166, adjacent to Grand Central Terminal on East 42nd Street and accessible via Metro-North Railroad and various New York City subway lines. All shareholders are directed to the building’s main security desk located on the mezzanine level. Upon presentation of identification and the materials described above, shareholders will be directed to the Gibson, Dunn &amp; Crutcher LLP reception on the 47th floor.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cameras, video or recording equipment will be permitted at the Annual Meeting. Many cellular phones have built-in digital cameras, and while these phones may be brought into the Annual Meeting, the camera function may not be used at any time. Additional information regarding the rules and procedures for participating in the Annual Meeting will be set forth in our meeting rules of conduct, which will be available to shareholders during the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pay the costs associated with the solicitation of proxies, including the preparation, assembly, printing and mailing of the proxy materials. We may also reimburse brokers, fiduciaries or custodians for the cost of forwarding proxy materials to beneficial owners of shares held in “street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employees, officers and directors may solicit proxies in person or via telephone or the Internet. We will not pay additional compensation for any of these services.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Voting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to announce preliminary voting results at the Annual Meeting. Final voting results will be published in a Current Report on Form 8-K to be filed with the SEC within four business days after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3" w:name="ny20067252x1_def14a_105-prop1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1: ELECTION OF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directors constituting the Board is currently set at five. Pursuant to the terms of our Memorandum and Articles of Association (“MAA”), at the Annual Meeting, the shareholders will vote to elect the Class I director nominee named in this Proxy Statement to serve until the 2029 Annual General Meeting of Shareholders and until his successor is duly elected and qualified or until his earlier death, resignation or removal. Our Board has nominated Spike Loy for election to our Board. Mr. Loy was most recently elected by shareholders at the 2023 Annual General Meeting of Shareholders. Our director nominee has indicated that he is willing and able to serve as director. However, if he becomes unable or, for good cause, unwilling to serve, proxies may be voted for the election of such other person as shall be designated by our Board, or the Board may decrease the size of the Board.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Regarding the Director Nominee and Continuing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is divided into three classes, with members of each class holding office for staggered three-year terms. There is currently one Class I director, who is up for election at this meeting for a term expiring at the 2029 Annual General Meeting of Shareholders; two Class II directors, whose terms expire at the 2027 Annual General Meeting of Shareholders; and two Class III directors, whose terms expire at the 2028 Annual General Meeting of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Biographical and other information regarding our director nominee and directors continuing in office, including the primary skills and experiences considered by our Nominating and Corporate Governance Committee (the “Nominating Committee”) in determining to recommend them as nominees, is set forth below. </w:t>
      </w:r>
    </w:p>
    <w:tbl>
      <w:tblPr>
        <w:tblW w:w="9170" w:type="dxa"/>
        <w:jc w:val="left"/>
        <w:tblInd w:w="0" w:type="dxa"/>
        <w:tblLayout w:type="fixed"/>
        <w:tblCellMar>
          <w:top w:w="0" w:type="dxa"/>
          <w:left w:w="0" w:type="dxa"/>
          <w:bottom w:w="0" w:type="dxa"/>
          <w:right w:w="0" w:type="dxa"/>
        </w:tblCellMar>
      </w:tblPr>
      <w:tblGrid>
        <w:gridCol w:w="2300"/>
        <w:gridCol w:w="170"/>
        <w:gridCol w:w="170"/>
        <w:gridCol w:w="425"/>
        <w:gridCol w:w="170"/>
        <w:gridCol w:w="170"/>
        <w:gridCol w:w="1130"/>
        <w:gridCol w:w="170"/>
        <w:gridCol w:w="170"/>
        <w:gridCol w:w="4295"/>
      </w:tblGrid>
      <w:tr>
        <w:trPr/>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0"/>
              <w:jc w:val="left"/>
              <w:rPr/>
            </w:pPr>
            <w:r>
              <w:rPr/>
              <w:t> </w:t>
            </w:r>
          </w:p>
        </w:tc>
      </w:tr>
      <w:tr>
        <w:trPr/>
        <w:tc>
          <w:tcPr>
            <w:tcW w:w="23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(as of April 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Interim Chair of the Board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Spike Loy</w:t>
            </w:r>
            <w:r>
              <w:rPr>
                <w:rFonts w:ascii="Times New Roman;Times;serif" w:hAnsi="Times New Roman;Times;serif"/>
                <w:color w:val="000000"/>
                <w:position w:val="7"/>
                <w:sz w:val="16"/>
                <w:sz w:val="20"/>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Lead Independent Director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Catherine Moukheibir</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Independent Director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Andrew Phillips</w:t>
            </w:r>
            <w:r>
              <w:rPr>
                <w:rFonts w:ascii="Times New Roman;Times;serif" w:hAnsi="Times New Roman;Times;serif"/>
                <w:color w:val="000000"/>
                <w:position w:val="7"/>
                <w:sz w:val="16"/>
                <w:sz w:val="20"/>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Independent Director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Ramnik Xavier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Independent Director</w:t>
            </w:r>
          </w:p>
        </w:tc>
      </w:tr>
      <w:tr>
        <w:trPr/>
        <w:tc>
          <w:tcPr>
            <w:tcW w:w="23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0"/>
              <w:jc w:val="left"/>
              <w:rPr/>
            </w:pPr>
            <w:r>
              <w:rPr/>
              <w:t> </w:t>
            </w:r>
          </w:p>
        </w:tc>
      </w:tr>
    </w:tbl>
    <w:tbl>
      <w:tblPr>
        <w:tblW w:w="2650" w:type="dxa"/>
        <w:jc w:val="left"/>
        <w:tblInd w:w="0" w:type="dxa"/>
        <w:tblLayout w:type="fixed"/>
        <w:tblCellMar>
          <w:top w:w="0" w:type="dxa"/>
          <w:left w:w="0" w:type="dxa"/>
          <w:bottom w:w="0" w:type="dxa"/>
          <w:right w:w="0" w:type="dxa"/>
        </w:tblCellMar>
      </w:tblPr>
      <w:tblGrid>
        <w:gridCol w:w="260"/>
        <w:gridCol w:w="23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3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Audit Committee </w:t>
            </w:r>
          </w:p>
        </w:tc>
      </w:tr>
    </w:tbl>
    <w:tbl>
      <w:tblPr>
        <w:tblW w:w="3250" w:type="dxa"/>
        <w:jc w:val="left"/>
        <w:tblInd w:w="0" w:type="dxa"/>
        <w:tblLayout w:type="fixed"/>
        <w:tblCellMar>
          <w:top w:w="0" w:type="dxa"/>
          <w:left w:w="0" w:type="dxa"/>
          <w:bottom w:w="0" w:type="dxa"/>
          <w:right w:w="0" w:type="dxa"/>
        </w:tblCellMar>
      </w:tblPr>
      <w:tblGrid>
        <w:gridCol w:w="260"/>
        <w:gridCol w:w="29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Compensation Committee </w:t>
            </w:r>
          </w:p>
        </w:tc>
      </w:tr>
    </w:tbl>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8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Nominating Committee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 Director Nominee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Spike Loy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our Company since April 2022 and was appointed Lead Independent Director of the Board in February 2026. Mr. Loy has also served as a director of our subsidiary, MoonLake AG, since May 2021. Mr. Loy is a Managing Director at BVF Partners L.P., a private investment firm, where he has served since August 2009. Mr. Loy previously served as a director of GH Research PLC (Nasdaq: GHRS), a biopharmaceutical company, from October 2020 to March 2022, and as a director of multiple private biopharmaceutical companies. Mr. Loy holds a J.D. from Harvard Law School and a B.A. in Human Biology, with a minor in Economics, from Stanford University.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Mr. Loy is qualified to serve on our Board because of his experience serving as a director of biopharmaceutical companies and as a manager of funds specializing in the area of life sciences.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Continuing in Office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Catherine Moukheibir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our Company since April 2022. Ms. Moukheibir is a professional non-executive director specializing in life sciences. In this capacity, she has served as chair of the audit committees of various companies, including Ironwood Pharmaceuticals (Nasdaq: IRWD) since 2019. She also serves on the boards of private companies, including Esteve Healthcare S.A. since 2024, CMR Surgical since 2021, Noema Pharma since 2022 and Synthon B.V. where she serves as Chair. She previously served on the boards of various biotechnology companies, including Oxford Biomedica plc (OTCMKTS: OXBDF), Biotalys (EBAR: BTLS), Ablynx (acquired by Sanofi in 2019), Kymab (acquired by Sanofi in 2021), Zealand Pharma (CPH: ZEAL), Creabilis (acquired by Sienna Biopharmaceuticals in 2016), GenKyoTex (acquired by Calliditas Therapeutics in 2020) and Orphazyme (now known as Strategic Partners A/S). Over the last 20 years, Ms. Moukheibir has held a number of executive-level finance positions at numerous biotechnology companies, including as Director of Capital Markets at Zeltia Group, from 2001-2007; Chief Financial Officer at Movetis, from 2008 to 2010; Executive Vice President of Finance and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5" w:name="ny20067252x1_def14a_105-prop1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Innate Pharma (Nasdaq: IPHA), from 2011-2016; and Chairman, then Chief Executive Officer of MedDay Pharmaceuticals from 2016-2021. Ms. Moukheibir began her career in management consulting in Boston and London and then worked in investment banking, where she served as an Executive Director in equity capital markets, first at Citi then at Morgan Stanley in London between 1997 and 2001. Ms. Moukheibir also served for five years on the advisory board of the business school at Imperial College (London). She earned an M.A. in Economics and an M.B.A. from Yale University.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Ms. Moukheibir is qualified to serve on our Board because of her financial expertise, experience on the boards of directors of life sciences companies in the United States and Europe and experience in a variety of roles in executive management, management consulting and investment banking.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Dr. Ramnik Xavier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our Company since April 2022. Since 2018, Dr. Xavier has served as a core institute member of the Broad Institute of MIT and Harvard, where he also serves as Director of the Klarman Cell Observatory. Dr. Xavier has served as Director of the Broad Institute’s Immunology Program since 2019 and Co-Director of the Broad’s Infectious Disease and Microbiome Program since 2016. Since 2013, Dr. Xavier has served as a Professor of Medicine at Harvard Medical School, where he is currently the Kurt J. Isselbacher Professor of Medicine. In addition, since 2018 he has served as Director of the Center for Computational and Integrative Biology and as a member in the Department of Molecular Biology at Massachusetts General Hospital. He has also served as co-director of the Center for Microbiome Informatics and Therapeutics at MIT since 2014. Dr. Xavier holds an M.B. Ch.B. (Hons.) from the Godfrey Huggins School of Medicine, University of Zimbabwe and a Ph.D. from the University of Groningen (Netherlands).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Dr. Xavier is qualified to serve on our Board because of his extensive biomedical research experience and research specializations in the characterization of genetic variants, chemical biology approaches to cellular disease and computational approaches to diseases and treatments.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Continuing in Office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Dr. Jorge Santos da Silva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Chief Executive Officer and a director of our Company since April 2022, and he has served as Interim Chair of the Board since February 2026. He co-founded MoonLake AG and served as its Chief Executive Officer from July 2021 until April 2022. Dr. Santos da Silva also serves as a professor and Board Advisor at the School of Medicine at the Minho University (Portugal). Prior to co-founding MoonLake AG, Dr. Santos da Silva was at McKinsey &amp; Company, Inc., a consulting firm, from September 2007 to June 2021, where he served as Senior Partner and led the Pharmaceutical &amp; Medical Products Practice, the Biotech group and the Biosimilars group and advised international biopharmaceutical and biotechnology companies on corporate and business-unit strategy, commercial operating models, research and development, organizational design, mergers and acquisitions and joint ventures. Dr. Santos da Silva was a Postdoctoral Fellow at Cold Spring Harbor Laboratory and holds a Ph.D. in Neuronal Cell Biology from the University of Turin (Italy) and a B.Sc. in Molecular Biology from the University of Glasgow, Institute of Biological and Life Sciences (United Kingdom). He also participated in a work placement in neurobiology at the European Molecular Biology Laboratory, Heidelberg (Germany).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Dr. Santos da Silva is qualified to serve on our Board because of his extensive management and operational experience in the life sciences sector, as well as his academic and research experience in the life sciences.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Dr. Andrew Phillips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our Company since April 2022. Dr. Phillips has served as the Chief Executive Officer and President of Aleksia Therapeutics, Inc., a biotechnology company, since August 2022, where he previously served as interim Chief Executive Officer; and as the Chief Executive Officer and President of Nexo Therapeutics, Inc., a biotechnology company, since November 2022. Previously, he served as the Chief Executive Officer of Blossom Bioscience Ltd., a biotechnology company, from June 2021 to December 2023. Prior to Blossom, he served as a Managing Director at Cormorant Asset Management, an investment manager, from August 2020 to July 2022. He served as Chief Financial Officer of Helix from April 2021 until April 2022. Dr. Phillips currently serves as a director OnKure, Inc. (Nasdaq: OKUR), a biopharmaceutical company. He also serves as a director at various private biotechnology companies. Dr. Phillips previously served as a director at the following biotechnology companies: Enliven Therapeutics (Nasdaq: ELVN), from February 2023 to January 2026, Elevation Oncology, Inc. (formerly, Nasdaq: ELEV), from November 2020 through June 2021, and Immuneering Corp. (Nasdaq: IMRX) from December 2020 through July 2021. From January 2016 to March 2020, Dr. Phillips was with C4 Therapeutics, Inc. (Nasdaq: CCCC), a clinical-stage biopharmaceutical company focused on therapeutics for the treatment of cancer and other diseases, where he served as Chief Executive Officer from May 2018 to March 2020, President from September 2016 to May 2018 and Chief Scientific Officer from January 2016 to May 2018. From July 2014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6" w:name="ny20067252x1_def14a_105-prop1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January 2016, he served as Senior Director, Center for Development of Therapeutics at the Broad Institute, a biomedical and genomic research organization. From June 2010 to January 2015, Dr. Phillips was a Professor of Chemistry at Yale University, and from July 2001 to June 2010 he was Assistant Professor, Associate Professor, and Professor of Chemistry and Biochemistry at the University of Colorado. He holds a B.Sc. in Biochemistry and a Ph.D. in Chemistry from the University of Canterbury (New Zealand).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Dr. Phillips is qualified to serve on our Board because of his experience serving as an executive officer of biopharmaceutical companies and as a manager of funds specializing in the area of life sciences, in addition to his extensive academic and leadership positions in the area of life sciences.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the Class I director nominee set forth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7" w:name="ny20067252x1_def14a_106-prop2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PROP2"/>
      <w:bookmarkEnd w:id="18"/>
      <w:r>
        <w:rPr>
          <w:rFonts w:ascii="Times New Roman;Times;serif" w:hAnsi="Times New Roman;Times;serif"/>
          <w:b/>
          <w:color w:val="000000"/>
          <w:sz w:val="20"/>
        </w:rPr>
        <w:t xml:space="preserve">PROPOSAL 2: RATIFICATION OF INDEPENDENT AUDITOR SELECTION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selected Baker Tilly US, LLP (“Baker Tilly”) as the Company’s independent registered public accounting firm for the year ending December 31, 2026. In this Proposal 2, we are asking shareholders to vote to ratify this selection. Representatives of Baker Tilly are expected to attend the Annual Meeting. They will have the opportunity to make a statement, if they desire to do so, and are expected to be available to respond to appropriate questions from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 ratification of the selection of Baker Tilly as the Company’s independent auditor is not required by applicable law or our MAA. However, we are seeking shareholder ratification as a matter of good corporate practice. If our shareholders fail to ratify the selection, the committee will reconsider its selection. Even if the selection is ratified, the committee, in its discretion, may direct the selection of a different independent auditor at any time during the year if it determines that such a change would be in the best interests of the Company and our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Baker Tilly has served as our independent auditor since June 2022 and previously provided services to MoonLake AG. The following table summarizes the audit fees billed and expected to be billed by Baker Tilly for the indicated fiscal years and the fees billed by Baker Tilly for all other services rendered during the indicated fiscal years. All services associated with such fees were pre-approved by our Audit Committee in accordance with the “Pre-Approval Policies and Procedures” described below. </w:t>
      </w:r>
    </w:p>
    <w:tbl>
      <w:tblPr>
        <w:tblW w:w="4415" w:type="dxa"/>
        <w:jc w:val="left"/>
        <w:tblInd w:w="0" w:type="dxa"/>
        <w:tblLayout w:type="fixed"/>
        <w:tblCellMar>
          <w:top w:w="0" w:type="dxa"/>
          <w:left w:w="0" w:type="dxa"/>
          <w:bottom w:w="0" w:type="dxa"/>
          <w:right w:w="0" w:type="dxa"/>
        </w:tblCellMar>
      </w:tblPr>
      <w:tblGrid>
        <w:gridCol w:w="1835"/>
        <w:gridCol w:w="170"/>
        <w:gridCol w:w="170"/>
        <w:gridCol w:w="980"/>
        <w:gridCol w:w="170"/>
        <w:gridCol w:w="170"/>
        <w:gridCol w:w="920"/>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8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$1,046,410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$973,450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$1,046,410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$973,450</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Audit Fees include fees for professional services rendered for the audit of year-end financial statements, reviews of quarterly financial statements and services that are normally provided by our independent registered public accounting firm in connection with statutory and regulatory filings.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Audit-Related Fees include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w:t>
            </w:r>
          </w:p>
        </w:tc>
      </w:tr>
    </w:tbl>
    <w:tbl>
      <w:tblPr>
        <w:tblW w:w="8950" w:type="dxa"/>
        <w:jc w:val="left"/>
        <w:tblInd w:w="0" w:type="dxa"/>
        <w:tblLayout w:type="fixed"/>
        <w:tblCellMar>
          <w:top w:w="0" w:type="dxa"/>
          <w:left w:w="0" w:type="dxa"/>
          <w:bottom w:w="0" w:type="dxa"/>
          <w:right w:w="0" w:type="dxa"/>
        </w:tblCellMar>
      </w:tblPr>
      <w:tblGrid>
        <w:gridCol w:w="260"/>
        <w:gridCol w:w="86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6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include fees consist of fees billed for professional services relating to tax compliance, tax planning and tax advice. </w:t>
            </w:r>
          </w:p>
        </w:tc>
      </w:tr>
    </w:tbl>
    <w:tbl>
      <w:tblPr>
        <w:tblW w:w="9205" w:type="dxa"/>
        <w:jc w:val="left"/>
        <w:tblInd w:w="0" w:type="dxa"/>
        <w:tblLayout w:type="fixed"/>
        <w:tblCellMar>
          <w:top w:w="0" w:type="dxa"/>
          <w:left w:w="0" w:type="dxa"/>
          <w:bottom w:w="0" w:type="dxa"/>
          <w:right w:w="0" w:type="dxa"/>
        </w:tblCellMar>
      </w:tblPr>
      <w:tblGrid>
        <w:gridCol w:w="260"/>
        <w:gridCol w:w="89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9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consist of fees billed for all other services, including annual licensing fees for accounting database subscriptions.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in 2025, MoonLake AG incurred $28,686 (CHF 23,100) in audit fees for services provided by OBT AG pertaining to the audit of the statutory financial statements of MoonLake AG for the period ended December 31, 2025. In 2024, MoonLake AG incurred $31,427 (CHF 26,500) in audit fees for services provided by OBT AG pertaining to the audit of the statutory financial statements of MoonLake AG for the period ended December 31, 2024.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adopted procedures requiring the pre-approval of all audit and permissible non-audit services performed by our independent registered public accounting firm. In its pre-approval and review of non-audit service fees, the Audit Committee considers, among other factors, the possible effect of the performance of such services on the auditors’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procedures generally approve the performance of specific services subject to a cost limit for all such services. This general approval is reviewed, and if necessary modified, at least annually. The committee may pre-approve certain other audit-related or other non-audit services it believes would not impair the independence of the auditor and are consistent with SEC and Public Company Accounting Oversight Board (“PCAOB”) rules on auditor independence. The committee does not delegate its responsibility to approve services performed by our auditor to any member of management. The committee has delegated authority to the committee chair to pre-approve any audit or non-audit service to be provided to us by our auditor provided that the fees for such services do not exceed $100,000. Any approval of services by the committee chair pursuant to this delegated authority must be reported to the committee at its next regularly scheduled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9" w:name="ny20067252x1_def14a_106-prop2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 of the 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audited financial statements for the year ended December 31, 2025 with the Company’s management and with Baker Tilly, the Company’s independent registered public accounting firm. The Audit Committee has discussed with Baker Tilly the matters required to be discussed by the applicable standards of the PCAOB and the SEC. The Audit Committee has also received the written disclosures and the letter from Baker Tilly pursuant to applicable PCAOB requirements regarding its communications with the Audit Committee concerning independence, and the Audit Committee has discussed with Baker Tilly its independence. Based on the foregoing, the Audit Committee recommended to the Board that the audited financial statements be included in the Company’s Annual Report on Form 10-K for the year ended December 31, 2025 for filing with the SEC.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report is provided by the following directors, who serve on the Audit Committee: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Catherine Moukheibir (Chair)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Spike Loy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Andrew Phillips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by ordinary resolution, of the selection of Baker Tilly to serve as our independent auditor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0" w:name="ny20067252x1_def14a_107-prop3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PROP3"/>
      <w:bookmarkEnd w:id="21"/>
      <w:r>
        <w:rPr>
          <w:rFonts w:ascii="Times New Roman;Times;serif" w:hAnsi="Times New Roman;Times;serif"/>
          <w:b/>
          <w:color w:val="000000"/>
          <w:sz w:val="20"/>
        </w:rPr>
        <w:t xml:space="preserve">PROPOSAL 3: ADVISORY VOTE ON EXECUTIVE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is asking you to approve, on a non-binding, advisory basis, the compensation of our named executive officers, as disclosed in this Proxy Statement. This item, which is provided pursuant to Section 14A of the Securities Exchange Act of 1934, as amended (the “Exchange Act”), is commonly referred to as a “say-on-pay” resolution.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say-on-pay proposal gives our shareholders the opportunity to express their views on our named executive officers’ compensation as a whole. This vote is not intended to address any specific element of compensation but rather the overall compensation of our named executive officers and our compensation philosophy, policies and practices described in this Proxy Statement. Please read the “Executive Compensation” section, including the Compensation Discussion and Analysis and the compensation tables and accompanying narrative disclosure, for information about our executive compensation program, including details of our 2025 compensation for our named executive officers. Our Compensation Committee believes that these policies and practices are effective in implementing our compensation philosophy and achieving our compensation program goals.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an advisory vote, the outcome of the vote on this proposal is not binding. However, our Compensation Committee, which is responsible for designing and administering our executive compensation program, will consider the outcome of this vote when making future executive compensation decisions. Unless our Board modifies its policy on the frequency of holding say-on-pay votes, the next say-on-pay vote will occur at our 2027 Annual General Meeting of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on a non-binding, advisory basis, of our named executive officers’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2" w:name="ny20067252x1_def14a_108-prop4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PROP4"/>
      <w:bookmarkEnd w:id="23"/>
      <w:r>
        <w:rPr>
          <w:rFonts w:ascii="Times New Roman;Times;serif" w:hAnsi="Times New Roman;Times;serif"/>
          <w:b/>
          <w:color w:val="000000"/>
          <w:sz w:val="20"/>
        </w:rPr>
        <w:t xml:space="preserve">PROPOSAL 4: APPROVAL OF AN AMENDMENT AND RESTATEMENT OF THE COMPANY’S 2022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shareholders are being asked to approve an amendment and restatement of the MoonLake Immunotherapeutics 2022 Equity Incentive Plan (the “Incentive Plan”). The Incentive Plan originally became effective on April 5, 2022, and, in order to continue to provide employees, officers, non-employee directors and other service providers with stock-based incentives, the Board adopted the amendment and restatement of the Incentive Plan on April 17, 2026, subject to its approval by the Company’s shareholders, to increase the number of Class A Ordinary Shares available for stock-based awards by 5,000,000 shares, remove liberal share recycling provisions, incorporate a one-year minimum vesting requirement, revise the non-employee director compensation limits set forth therein, specify the treatment of outstanding awards in the event of a change in control, extend the term of the Incentive Plan to June 4, 2036, and make certain other administrative changes. If the Company shareholders approve the amendment and restatement of the Incentive Plan, it will become effective upon the date of the 2026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employees, officers, non-employee directors, and other key service providers should have a significant stake in the Company under programs that link compensation to shareholder return. As a result, equity compensation is considered to be an integral part of the Company’s compensation program. The Board approved the amendment and restatement of the Incentive Plan because there are limited remaining shares available for grant and the Company does not have any other plans under which equity awards can be granted to existing employees. If shareholders do not approve this proposal, we will continue to have the authority to grant awards under the Incentive Plan, but the proposed 5,000,000 share increase will not be effective, which could result in a serious disruption of our compensation programs and will limit our ability to provide retention incentives to our executives and other employees. Equity awards are a significant component of total compensation for our executive officers and other employees and are vital to our ability to attract and retain outstanding and highly skilled individuals in the extremely competitive labor markets in which we compete. If shareholders do not approve the proposal, we would need to grant cash and other non-equity rewards to these individuals. We believe that such alternative forms of compensation do not align employee interests with those of shareholders as efficiently as equity-based awards, and we think it is important to provide compensation that continues to effectively align employees with shareholders and provides a total compensation package that is competitive with other companies. We strongly believe that the approval of this proposal is instrumental to our continued success, and that the additional 5,000,000 shares requested will be sufficient to fund future equity grants under the Incentive Plan for approximately the next 3 to 5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approving the amendment and restatement of the Incentive Plan, the Board considered the potential dilution of the amended and restated Incentive Plan to the shareholders of the Company. If the amendment and restatement of the Incentive Plan is approved, then the Company’s total potential dilution from the new shares available for issuance thereunder would represent approximately 6.2% as of April 1, 2026. The Board considered this potential dilution level in the context of competitive data from its peer group and the Company’s expected growth needs, and believes that the resulting dilution levels are reasonable and in the best interests of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Existing Equity Plan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maintain any other equity plans. The following table includes aggregated information regarding awards outstanding as of April 1, 2026 under the Incentive Plan and the proposed number of additional shares under the Incentive Plan: </w:t>
      </w:r>
    </w:p>
    <w:tbl>
      <w:tblPr>
        <w:tblW w:w="10205" w:type="dxa"/>
        <w:jc w:val="left"/>
        <w:tblInd w:w="0" w:type="dxa"/>
        <w:tblLayout w:type="fixed"/>
        <w:tblCellMar>
          <w:top w:w="0" w:type="dxa"/>
          <w:left w:w="0" w:type="dxa"/>
          <w:bottom w:w="0" w:type="dxa"/>
          <w:right w:w="0" w:type="dxa"/>
        </w:tblCellMar>
      </w:tblPr>
      <w:tblGrid>
        <w:gridCol w:w="8796"/>
        <w:gridCol w:w="170"/>
        <w:gridCol w:w="170"/>
        <w:gridCol w:w="1069"/>
      </w:tblGrid>
      <w:tr>
        <w:trPr/>
        <w:tc>
          <w:tcPr>
            <w:tcW w:w="879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0"/>
              <w:jc w:val="left"/>
              <w:rPr/>
            </w:pPr>
            <w:r>
              <w:rPr/>
              <w:t> </w:t>
            </w:r>
          </w:p>
        </w:tc>
      </w:tr>
      <w:tr>
        <w:trPr/>
        <w:tc>
          <w:tcPr>
            <w:tcW w:w="8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Stock Option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2,522,420 </w:t>
            </w:r>
          </w:p>
        </w:tc>
      </w:tr>
      <w:tr>
        <w:trPr/>
        <w:tc>
          <w:tcPr>
            <w:tcW w:w="8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$14.78 </w:t>
            </w:r>
          </w:p>
        </w:tc>
      </w:tr>
      <w:tr>
        <w:trPr/>
        <w:tc>
          <w:tcPr>
            <w:tcW w:w="8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Remaining Term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8.81 years </w:t>
            </w:r>
          </w:p>
        </w:tc>
      </w:tr>
      <w:tr>
        <w:trPr/>
        <w:tc>
          <w:tcPr>
            <w:tcW w:w="8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Full Value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497,942 </w:t>
            </w:r>
          </w:p>
        </w:tc>
      </w:tr>
      <w:tr>
        <w:trPr/>
        <w:tc>
          <w:tcPr>
            <w:tcW w:w="879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Available for Grant Under Incentive Plan (prior to the proposed amendment and restatement)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1,046,782 </w:t>
            </w:r>
          </w:p>
        </w:tc>
      </w:tr>
      <w:tr>
        <w:trPr/>
        <w:tc>
          <w:tcPr>
            <w:tcW w:w="8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Class A Ordinary Shares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72,605,691 </w:t>
            </w:r>
          </w:p>
        </w:tc>
      </w:tr>
      <w:tr>
        <w:trPr/>
        <w:tc>
          <w:tcPr>
            <w:tcW w:w="8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Additional Shares Requested for Incentive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5,000,000</w:t>
            </w:r>
          </w:p>
        </w:tc>
      </w:tr>
      <w:tr>
        <w:trPr/>
        <w:tc>
          <w:tcPr>
            <w:tcW w:w="879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67252x1_def14a_108-prop4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of the amended and restated Incentive Plan is qualified in its entirety by reference to the plan document, a copy of which is attached as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and incorporated into this revised proxy statement by reference. Shareholders and potential investors are urged to read the Incentive Plan in its entirety. Any capitalized terms which are used in this summary description but not defined here or elsewhere in this revised proxy statement have the meanings assigned to them in the Incentive Plan.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Purpose of the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the Incentive Plan. The purpose of the Incentive Plan is to promote and closely align the interests of our employees, officers, non-employee directors, and other service providers and our shareholders by providing share-based compensation and other performance-based compensation. The objectives of the Incentive Plan are to attract and retain the best available personnel for positions of substantial responsibility and to motivate participants to optimize the profitability and growth of the Company through incentives that are consistent with our goals and that link the personal interests of participants to those of our shareholders. The Incentive Plan allows for the grant of stock options, both incentive and “non-qualified” stock options; SARs, alone or in conjunction with other awards; restricted stock and RSUs; incentive bonuses, which may be paid in cash, shares, or a combination thereof; and other stock-based awards. We refer to these collectively herein as “Awards”.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Incentive Plan is administered by the Compensation Committee, or such other committee as may be designated by the Company’s Board to administer the plan, which we refer to herein as the “Administrator”. The Administrator has broad authority, subject to the provisions of the Incentive Plan, to administer and interpret the Incentive Plan and Awards granted thereunder. All decisions and actions of the Administrator will be final.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current or prospective employee, officer, non-employee director or other service provider of the Company or any of its subsidiaries may be selected by the Administrator to receive an award under the Incentive Plan; provided, however, that incentive stock options may only be granted to employees of the Company or any of its “subsidiary corporations” within the meaning of Section 424 of the Code. As of April 1, 2026, approximately 125 employees and 4 non-employee directors were eligible to participate in the Incentive Plan. While consultants are generally considered eligible under the Incentive Plan to preserve our flexibility, we have never granted equity awards under the Incentive Plan to any consultants and do not currently have plans to do so in the near future.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Subject to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maximum number of Class A Ordinary Shares that may be issued under the Incentive Plan is equal to 9,353,948 (the “Share Pool”), all of which may be issued pursuant to the exercise of incentive stock options. The Share Pool is subject to certain adjustments in the event of a change in our capitalization. Class A Ordinary Shares issued under the Incentive Plan may be either authorized and unissued shares or previously issued shares acquired by us. On termination or expiration of an Award under the Incentive Plan, in whole or in part, the number of Class A Ordinary Shares subject to such Award but not issued thereunder or that are otherwise forfeited back to the Company will again become available for grant under the Incentive Plan. Notwithstanding the foregoing, shares subject to Awards under the Incentive Plan may not again be made available for issuance under the Plan if such shares are shares that were subject to a stock-settled SAR and were not issued upon the net settlement or net exercise of such SAR, shares that have been delivered (either actually or by attestation) to, or retained or withheld by, the Company in payment or satisfaction of any exercise price, purchase price or tax withholding obligation of an Award, or shares that have been repurchased on the open market with the proceeds of an option exercise.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Limits on Non-Employee 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Incentive Plan, the aggregate dollar value of all cash and equity-based compensation (whether granted under the Incentive Plan or otherwise) to our non-employee directors for services in such capacity shall not exceed $750,000 during any calendar year. However, during the calendar year in which a non-employee director first joins the Company’s Board or during any calendar year in which a non-employee director serves as chairperson or lead director, such aggregate limit shall instead be $1,000,000.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67252x1_def14a_108-prop4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Minimum Vesting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Awards granted under the Incentive Plan may not become exercisable, vest or be settled, in whole or in part, prior to the one (1) year anniversary of the date of grant except (i) with respect to an Award that is granted in connection with a merger or other acquisition as a substitute or replacement award for awards held by grantees of the acquired business and (ii) with respect to an Award granted to a non-employee director that vests on the earlier of the one-year anniversary of the date of grant and the next annual meeting of shareholders which is at least 50 weeks after the immediately preceding year’s annual meeting; provided, that up to 5% of the aggregate number of shares authorized for issuance under the Incentive Plan may be issued pursuant to Awards subject to any, or no, vesting conditions, as the Administrator determines appropriate; and, provided, further, that the foregoing restriction does not apply to the Administrator’s discretion to provide for accelerated exercisability or vesting of any Award, including in cases of retirement, death, disability, or a change in control, in the terms of the Award or otherwise.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Types of Awards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stock options granted under the Incentive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Incentive Plan, options generally may be exercised over such period, in installments or otherwise, as the Administrator may determine. The exercise price for any stock option granted may not generally be less than the fair market value of the Class A Ordinary Shares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Other than in connection with a change in our capitalization, we will not, without shareholder approval, reduce the exercise price of a previously awarded option, and at any time when the exercise price of a previously awarded option is above the fair market value of a Class A Ordinary Share, we will not, without shareholder approval, cancel and re-grant or exchange such option for cash or a new Award with a lower (or no) exercise price. Participants will not have voting rights nor the right to receive dividends or dividend equivalents in respect of an award of options or any Class A Ordinary Shares subject to such an award until the participant has become the holder of record of such Class A Ordinary Shares.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Appreciation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SARs may be granted alone or in conjunction with all or part of a stock option. Upon exercising a SAR, the participant is entitled to receive the amount by which the fair market value of the Class A Ordinary Shares at the time of exercise exceeds the exercise price of the SAR. This amount is payable in Class A Ordinary Shares, cash, restricted stock, or a combination thereof, at the Administrator’s discretion. Participants will not have voting rights nor the right to receive dividends or dividend equivalents in respect of an award of SARs or any Class A Ordinary Shares subject to such an award until the participant has become the holder of record of such Class A Ordinary Shares.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and RSUs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Awards of restricted stock consist of shares that are transferred to the participant subject to restrictions that may result in forfeiture if specified conditions are not satisfied. RSUs result in the transfer of shares or cash to the participant only after specified conditions are satisfied. The Administrator will determine the restrictions and conditions applicable to each Award of restricted stock or RSUs, which may include performance vesting conditions. In no event will dividends or dividend equivalents be paid during the performance period with respect to unearned awards of restricted stock or RSUs that are subject to performance-based vesting criteria. Dividends or dividend equivalents accrued on such shares will become payable no earlier than the date the performance-based vesting criteria have been achieved and the underlying shares of restricted stock or RSUs have been earned.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Stock-Based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stock-based awards are Awards denominated in or payable in, valued in whole or in part by reference to, or otherwise based on or related to, the value of shares. In no event will dividends or dividend equivalents be paid during the performance period with respect to unearned other stock-based awards that are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6" w:name="ny20067252x1_def14a_108-prop4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performance-based vesting criteria. Dividends or dividend equivalents accrued on such shares will become payable no earlier than the date the performance-based vesting criteria have been achieved and the underlying shares relating to such award have been earned.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Incentive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incentive bonus will confer upon the participant the opportunity to earn a future payment tied to the level of achievement with respect to one or more performance criteria established for a specified performance period. The Administrator will establish the performance criteria and level of achievement versus these criteria that will determine the threshold, target, and maximum amount payable under an incentive bonus, which criteria may be based on financial performance and/or personal performance evaluations. Payment of the amount due under an incentive bonus may be made in cash or shares, as determined by the Administrator.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Performance Criteria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may specify certain performance criteria which must be satisfied before Awards will be granted or will vest. The performance goals may vary from participant to participant, group to group, and period to period.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immediately prior to the change in control, all Awards will be treated as follows: (A) in the case of a stock option or SAR, the participant will have the ability to exercise such stock option or SAR, including any portion of the stock option or SAR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will immediately lapse and the participant will have the right to receive a payment based on the greater of target level achievement or actual performance through the date of the change in control, and (C) in the case of outstanding restricted stock, restricted stock units or other share-based Awards (other than those referenced in subsection (B)), all conditions to the grant, issuance, retention, vesting or transferability of, or any other restrictions applicable to, such Award will immediately lapse.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may provide for the cancellation and cash settlement of all outstanding Awards upon such change in control.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Awards generally may not be sold, transferred for value, pledged, assigned or otherwise alienated or hypothecated by a participant other than by will or the laws of descent and distribution, and each option or SAR may be exercisable only by the participant during his or her lifetime.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and Termination;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Board has the right to amend, alter, suspend or terminate the Incentive Plan at any time, provided certain enumerated material amendments may not be made without shareholder approval. No amendment or alteration to the Incentive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Company, the Incentive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Unless earlier terminated by the Board, the Incentive Plan will remain available for the grant of Awards until June 4, 2036, but previously granted Awards may continue beyond that date in accordance with their terms. Notwithstanding the foregoing, incentive stock options may not be granted after the tenth anniversary of the Board’s approval of the Incentive Plan.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of the federal income tax consequences of the Incentive Plan is intended to be a summary of applicable federal law as currently in effect. It should not be taken as tax advice by participants, who are urged to consult their individual tax advisors.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7" w:name="ny20067252x1_def14a_108-prop4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Incentive Stock Options (“ISOs”) and Non-qualified stock options (“NQSOs”) are treated differently for federal income tax purposes. ISOs are intended to comply with the requirements of Section 422 of the Code. NQSOs do not comply with such requirements. 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for at least two years following the option grant date and at least one year following exercise, the optionee’s gain, if any, upon a subsequent disposition of such shares is long term capital gain. The measure of the gain is the difference between the proceeds received on disposition and the optionee’s basis in the shares (which generally equals the exercise price). If an optionee disposes of stock acquired pursuant to the exercise of an ISO before satisfying these holding periods, the optionee will recognize both ordinary income and capital gain in the year of disposition.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for an option to qualify for ISO tax treatment, the grant of the option must satisfy various other conditions more fully described in the Code. The Company does not guarantee that any option will qualify for ISO tax treatment even if the option is intended to qualify for such treatment. In the event an option intended to be an ISO fails to so qualify, it will be taxed as an NQSO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optionee is not taxed on the grant of an NQSO. On exercise, the optionee recognizes ordinary income equal to the difference between the exercise price and the fair market value of the shares acquired on the date of exercise. The Company is entitled to an income tax deduction in the year of exercise in the amount recognized by the optionee as ordinary income. The optionee’s gain (or loss) on a subsequent disposition of the shares is long term capital gain (or loss) if the shares are held for at least one year following exercise. The Company does not receive a deduction for this gain.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SARs.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An optionee is not taxed on the grant of a SAR. On exercise, the optionee recognizes ordinary income equal to the cash or the fair market value of any shares received. The Company is entitled to an income tax deduction in the year of exercise in the amount recognized by the optionee as ordinary income.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Restricted Stock and Restricted Stock Units.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Generally, grantees of restricted stock or restricted stock units do not recognize income at the time of the grant. When the award vests or is paid, grantees generally recognize ordinary income in an amount equal to the fair market value of the stock or units at such time, and the Company will receive a corresponding deduction. However, no later than 30 days after a participant receives an award of restricted stock, the participant may elect to recognize taxable ordinary income in an amount equal to the fair market value of the shares at the time of receipt (i.e., grant). Provided that the election is made in a timely manner, when the restrictions on the shares lapse, the participant will not recognize any additional income. If the participant forfeits the shares to the Company (e.g., upon the participant’s termination prior to vesting), the participant may not claim a deduction with respect to the income recognized as a result of the election.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Cash Awards.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participant will have taxable income at the time a cash award becomes payable, and, if the participant has timely elected deferral to a later date, such later date. At that time, the participant will recognize ordinary income equal to the value of the amount then payable.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Company Deduction and Section 162(m).</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 general, Section 162(m) of the Code limits a publicly traded company’s federal income tax deduction for compensation in excess of $1 million paid to its Chief Executive Officer, Chief Financial Officer and the next three highest-paid executive officers. As such, we expect that we will be unable to deduct all compensation in excess of $1 million paid to our Chief Executive Officer, Chief Financial Officer and the next three highest-paid executive officers.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Withholding Taxes.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Company will generally be required to withhold applicable taxes with respect to any ordinary income recognized by a participant in connection with awards made under the Incentive Plan. Whether or not such withholding is required, the Company will make such information reports to the Internal Revenue Service as may be required with respect to any income (whether or not that of an employee) attributable to transactions involving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8" w:name="ny20067252x1_def14a_108-prop4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Benefits; Market Value of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benefits that will be awarded or paid in the future under the Incentive Plan are not currently determinable as awards under the Incentive Plan are within the discretion of the Administrator, and the Administrator has not determined future awards or who might receive them. However, each non-employee director is expected to receive an annual award of share options on the date of the Annual Meeting with a grant date fair value equal to approximately $290,000. The following table shows information regarding the awards granted under the Incentive Plan as of April 1, 2026 to the persons and groups identified below. The closing market price of our Class A Ordinary Shares as reflected on Nasdaq on April 1, 2026 was $16.52. </w:t>
      </w:r>
    </w:p>
    <w:tbl>
      <w:tblPr>
        <w:tblW w:w="10205" w:type="dxa"/>
        <w:jc w:val="left"/>
        <w:tblInd w:w="0" w:type="dxa"/>
        <w:tblLayout w:type="fixed"/>
        <w:tblCellMar>
          <w:top w:w="0" w:type="dxa"/>
          <w:left w:w="0" w:type="dxa"/>
          <w:bottom w:w="0" w:type="dxa"/>
          <w:right w:w="0" w:type="dxa"/>
        </w:tblCellMar>
      </w:tblPr>
      <w:tblGrid>
        <w:gridCol w:w="6542"/>
        <w:gridCol w:w="170"/>
        <w:gridCol w:w="170"/>
        <w:gridCol w:w="1250"/>
        <w:gridCol w:w="170"/>
        <w:gridCol w:w="170"/>
        <w:gridCol w:w="1733"/>
      </w:tblGrid>
      <w:tr>
        <w:trPr/>
        <w:tc>
          <w:tcPr>
            <w:tcW w:w="65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0"/>
              <w:jc w:val="left"/>
              <w:rPr/>
            </w:pPr>
            <w:r>
              <w:rPr/>
              <w:t> </w:t>
            </w:r>
          </w:p>
        </w:tc>
      </w:tr>
      <w:tr>
        <w:trPr/>
        <w:tc>
          <w:tcPr>
            <w:tcW w:w="654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654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Dr. Jorge Santos da Silva, Chief Executive Officer and Interim Chair of the Board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520,342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283"/>
              <w:ind w:left="5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95,763 </w:t>
            </w:r>
          </w:p>
        </w:tc>
      </w:tr>
      <w:tr>
        <w:trPr/>
        <w:tc>
          <w:tcPr>
            <w:tcW w:w="6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 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5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450,059 </w:t>
            </w:r>
          </w:p>
        </w:tc>
      </w:tr>
      <w:tr>
        <w:trPr/>
        <w:tc>
          <w:tcPr>
            <w:tcW w:w="6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 Chief Scientific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659,615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283"/>
              <w:ind w:left="507" w:right="0" w:hanging="0"/>
              <w:jc w:val="left"/>
              <w:rPr>
                <w:color w:val="000000"/>
              </w:rPr>
            </w:pPr>
            <w:r>
              <w:rPr>
                <w:color w:val="000000"/>
              </w:rPr>
              <w:t xml:space="preserve">— </w:t>
            </w:r>
          </w:p>
        </w:tc>
      </w:tr>
      <w:tr>
        <w:trPr/>
        <w:tc>
          <w:tcPr>
            <w:tcW w:w="6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 (3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1,179,957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5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545,822 </w:t>
            </w:r>
          </w:p>
        </w:tc>
      </w:tr>
      <w:tr>
        <w:trPr/>
        <w:tc>
          <w:tcPr>
            <w:tcW w:w="6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 (4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237,668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283"/>
              <w:ind w:left="507" w:right="0" w:hanging="0"/>
              <w:jc w:val="left"/>
              <w:rPr>
                <w:color w:val="000000"/>
              </w:rPr>
            </w:pPr>
            <w:r>
              <w:rPr>
                <w:color w:val="000000"/>
              </w:rPr>
              <w:t xml:space="preserve">— </w:t>
            </w:r>
          </w:p>
        </w:tc>
      </w:tr>
      <w:tr>
        <w:trPr/>
        <w:tc>
          <w:tcPr>
            <w:tcW w:w="6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other nominee for election as a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507" w:right="0" w:hanging="0"/>
              <w:jc w:val="left"/>
              <w:rPr>
                <w:color w:val="000000"/>
              </w:rPr>
            </w:pPr>
            <w:r>
              <w:rPr>
                <w:color w:val="000000"/>
              </w:rPr>
              <w:t xml:space="preserve">— </w:t>
            </w:r>
          </w:p>
        </w:tc>
      </w:tr>
      <w:tr>
        <w:trPr/>
        <w:tc>
          <w:tcPr>
            <w:tcW w:w="6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such directors, executive officers, or nominee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283"/>
              <w:ind w:left="507" w:right="0" w:hanging="0"/>
              <w:jc w:val="left"/>
              <w:rPr>
                <w:color w:val="000000"/>
              </w:rPr>
            </w:pPr>
            <w:r>
              <w:rPr>
                <w:color w:val="000000"/>
              </w:rPr>
              <w:t xml:space="preserve">— </w:t>
            </w:r>
          </w:p>
        </w:tc>
      </w:tr>
      <w:tr>
        <w:trPr/>
        <w:tc>
          <w:tcPr>
            <w:tcW w:w="654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of such options, warrants, or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507" w:right="0" w:hanging="0"/>
              <w:jc w:val="left"/>
              <w:rPr>
                <w:color w:val="000000"/>
              </w:rPr>
            </w:pPr>
            <w:r>
              <w:rPr>
                <w:color w:val="000000"/>
              </w:rPr>
              <w:t xml:space="preserve">— </w:t>
            </w:r>
          </w:p>
        </w:tc>
      </w:tr>
      <w:tr>
        <w:trPr/>
        <w:tc>
          <w:tcPr>
            <w:tcW w:w="654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current employees, including all current officers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1,655,813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283"/>
              <w:ind w:left="507" w:right="0" w:hanging="0"/>
              <w:jc w:val="left"/>
              <w:rPr>
                <w:color w:val="000000"/>
              </w:rPr>
            </w:pPr>
            <w:r>
              <w:rPr>
                <w:color w:val="000000"/>
              </w:rPr>
              <w:t>—</w:t>
            </w:r>
          </w:p>
        </w:tc>
      </w:tr>
      <w:tr>
        <w:trPr/>
        <w:tc>
          <w:tcPr>
            <w:tcW w:w="654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shareholders approve the Incentive Plan, we intend to file a Registration Statement on Form S-8 with the SEC to register the additional shares available for issuance under the plan following the Annual Meeting during the second or third fiscal quarter.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an amendment and restatement of the Incentive Plan.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29" w:name="ny20067252x1_def14a_109-corporate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CG"/>
      <w:bookmarkEnd w:id="30"/>
      <w:r>
        <w:rPr>
          <w:rFonts w:ascii="Times New Roman;Times;serif" w:hAnsi="Times New Roman;Times;serif"/>
          <w:b/>
          <w:color w:val="000000"/>
          <w:sz w:val="20"/>
        </w:rPr>
        <w:t xml:space="preserve">CORPORATE GOVERNANCE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business affairs are managed under the direction of our Board. Our Board has adopted a set of Principles of Corporate Governance as a framework for the governance of the Company, which is posted on our website located at </w:t>
      </w:r>
      <w:r>
        <w:rPr>
          <w:rFonts w:ascii="Times New Roman;Times;serif" w:hAnsi="Times New Roman;Times;serif"/>
          <w:i/>
          <w:color w:val="000000"/>
          <w:sz w:val="20"/>
        </w:rPr>
        <w:t>ir.moonlaketx.com</w:t>
      </w:r>
      <w:r>
        <w:rPr>
          <w:rFonts w:ascii="Times New Roman;Times;serif" w:hAnsi="Times New Roman;Times;serif"/>
          <w:color w:val="000000"/>
          <w:sz w:val="20"/>
        </w:rPr>
        <w:t xml:space="preserve">, under “Corporate Governance”.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Governance Structure and Philosophy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governance practices reflect the environment in which we operate and are designed to support our mission to advance therapies to address significant unmet needs in inflammatory skin and joint diseases. We are a pre-revenue single-asset clinical-stage biotechnology company in an evolving industry. We are focused on the development of Sonelokimab (“SLK”), a novel tri-specific IL-17A and IL-17F inhibiting Nanobody, that we exclusively licensed from Merck Healthcare KGaA, Darmstadt, Germany (“MHKDG”) and that has the potential, based on response levels seen in clinical trials, to drive disease modification in dermatology and rheumatology patients. We are working towards submitting our first Biologics License Application (“BLA”) for SLK in the second half of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Like other companies in the biotechnology industry, we face extreme share price and volume fluctuations that are often unrelated or disproportionate to our operating performance. With these business environment considerations in mind, the Board put in place our current governance structure to enable the management team to act with deliberation and to focus on delivering long-term value to shareholders and protect minority investors from the interests of potentially short-sighted investors who may seek to act opportunistically and not in the best interests of the Company or shareholders generally. This structure includes the following elements: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Classified board</w:t>
            </w:r>
            <w:r>
              <w:rPr>
                <w:rFonts w:ascii="Times New Roman;Times;serif" w:hAnsi="Times New Roman;Times;serif"/>
                <w:color w:val="000000"/>
                <w:sz w:val="20"/>
              </w:rPr>
              <w:t xml:space="preserve">: our directors serve three-year terms, with approximately 1/3 of the Board (instead of the entire Board) elected at each annual general meeting. This helps to provide stability and continuity, permitting directors to develop and share institutional knowledge and focus on the long term, and encourages shareholders to engage directly with the Board and management team regarding significant corporation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Supermajority voting</w:t>
            </w:r>
            <w:r>
              <w:rPr>
                <w:rFonts w:ascii="Times New Roman;Times;serif" w:hAnsi="Times New Roman;Times;serif"/>
                <w:color w:val="000000"/>
                <w:sz w:val="20"/>
              </w:rPr>
              <w:t xml:space="preserve">: the voting standard for most items at a general meeting is a simple majority vote, but a 2/3 supermajority vote is needed to, among other things, amend our MAA and to remove directors. This helps protect against a small group of shareholders acting to amend our governing documents or to remove directors for reasons that may not be in the best interests of all shareholders.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Plurality voting for directors</w:t>
            </w:r>
            <w:r>
              <w:rPr>
                <w:rFonts w:ascii="Times New Roman;Times;serif" w:hAnsi="Times New Roman;Times;serif"/>
                <w:color w:val="000000"/>
                <w:sz w:val="20"/>
              </w:rPr>
              <w:t xml:space="preserve">: our directors are elected by a plurality of votes cast (instead of a simple majority of votes cast), meaning the nominees with the most votes are elected. This helps avoid potential disruption to the Board and management team as a result of a “failed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Shareholders cannot call general meetings</w:t>
            </w:r>
            <w:r>
              <w:rPr>
                <w:rFonts w:ascii="Times New Roman;Times;serif" w:hAnsi="Times New Roman;Times;serif"/>
                <w:color w:val="000000"/>
                <w:sz w:val="20"/>
              </w:rPr>
              <w:t xml:space="preserve">: shareholders can propose business at each annual general meeting (in accordance with our advance notice provisions of our MAA and Rule 14a-8), but cannot call a shareholder vote in between annual general meetings. This helps avoid unnecessary diversion of Board and management time (potentially at the request of a limited number of shareholders acting to further short-term special interests) from executing on our long-term strategy.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Recognizing that the Company’s operating environment continues to evolve and that governance practices should not be static as a matter of course, the Board annually evaluates our governance structure to confirm it remains in the best interests of the Company and shareholders and values input from our shareholders on this topic.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Nomination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Committee is responsible for, among other things, overseeing succession planning for directors and building a qualified board to oversee management’s execution of the Company’s strategy and safeguard the long-term interests of shareholders. In this regard, the committee is charged with developing and recommending Board membership criteria to the Board for approval, evaluating the composition of the Board annually to assess the skills and experience that are currently represented on the Board and the skills and experience that the Board may find valuable in the future, and identifying, evaluating and recommending potential director candidates.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identifying potential candidates for Board membership, the Nominating Committee considers recommendations from directors, shareholders, management and others, including, from time to time, third-party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1" w:name="ny20067252x1_def14a_109-corporate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search firms to assist it in locating qualified candidates. Once potential director candidates are identified, the committee, with the assistance of management, undertakes a vetting process that considers each candidate’s background, independence and fit with the Board’s priorities. As part of this vetting process, the committee, as well as other members of the Board and the CEO, may conduct interviews with the candidates. If the committee determines that a potential candidate meets the needs of the Board and has the desired qualifications, it recommends the candidate to the full Board for appointment or nomination and to the shareholders for election at the annual general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Criteria for Board Membership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assessing potential candidates for Board membership and in assessing Board composition, the Nominating Committee considers a wide range of factors and generally seeks to balance the following skills, experiences and backgrounds on the Board: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Biotechnology &amp; Related Industry Experience</w:t>
            </w:r>
            <w:r>
              <w:rPr>
                <w:rFonts w:ascii="Times New Roman;Times;serif" w:hAnsi="Times New Roman;Times;serif"/>
                <w:color w:val="000000"/>
                <w:sz w:val="20"/>
              </w:rPr>
              <w:t xml:space="preserve">: experience within the biotechnology, pharmaceuticals, medical technologies or healthcare industries, particularly, experience with biologics and immunology therapeutic areas (e.g., dermatology or rheumatology) or experience in clinical development, operations or research and development. </w:t>
            </w:r>
          </w:p>
        </w:tc>
      </w:tr>
    </w:tbl>
    <w:tbl>
      <w:tblPr>
        <w:tblW w:w="10195" w:type="dxa"/>
        <w:jc w:val="left"/>
        <w:tblInd w:w="0" w:type="dxa"/>
        <w:tblLayout w:type="fixed"/>
        <w:tblCellMar>
          <w:top w:w="0" w:type="dxa"/>
          <w:left w:w="0" w:type="dxa"/>
          <w:bottom w:w="0" w:type="dxa"/>
          <w:right w:w="0" w:type="dxa"/>
        </w:tblCellMar>
      </w:tblPr>
      <w:tblGrid>
        <w:gridCol w:w="140"/>
        <w:gridCol w:w="10055"/>
      </w:tblGrid>
      <w:tr>
        <w:trPr/>
        <w:tc>
          <w:tcPr>
            <w:tcW w:w="14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Corporate Governance</w:t>
            </w:r>
            <w:r>
              <w:rPr>
                <w:rFonts w:ascii="Times New Roman;Times;serif" w:hAnsi="Times New Roman;Times;serif"/>
                <w:color w:val="000000"/>
                <w:sz w:val="20"/>
              </w:rPr>
              <w:t xml:space="preserve">: experience, whether currently or in the past, serving on other public company boards of directors. </w:t>
            </w:r>
          </w:p>
        </w:tc>
      </w:tr>
    </w:tbl>
    <w:tbl>
      <w:tblPr>
        <w:tblW w:w="9550" w:type="dxa"/>
        <w:jc w:val="left"/>
        <w:tblInd w:w="0" w:type="dxa"/>
        <w:tblLayout w:type="fixed"/>
        <w:tblCellMar>
          <w:top w:w="0" w:type="dxa"/>
          <w:left w:w="0" w:type="dxa"/>
          <w:bottom w:w="0" w:type="dxa"/>
          <w:right w:w="0" w:type="dxa"/>
        </w:tblCellMar>
      </w:tblPr>
      <w:tblGrid>
        <w:gridCol w:w="140"/>
        <w:gridCol w:w="9410"/>
      </w:tblGrid>
      <w:tr>
        <w:trPr/>
        <w:tc>
          <w:tcPr>
            <w:tcW w:w="14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Diverse Perspectives</w:t>
            </w:r>
            <w:r>
              <w:rPr>
                <w:rFonts w:ascii="Times New Roman;Times;serif" w:hAnsi="Times New Roman;Times;serif"/>
                <w:color w:val="000000"/>
                <w:sz w:val="20"/>
              </w:rPr>
              <w:t xml:space="preserve">: contributes to a diversity of skills, experiences, perspectives and backgrounds on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Finance &amp; Accounting</w:t>
            </w:r>
            <w:r>
              <w:rPr>
                <w:rFonts w:ascii="Times New Roman;Times;serif" w:hAnsi="Times New Roman;Times;serif"/>
                <w:color w:val="000000"/>
                <w:sz w:val="20"/>
              </w:rPr>
              <w:t xml:space="preserve">: experience or expertise in finance, accounting, investment analysis, financial reporting processes and capital markets.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Sales &amp; Marketing</w:t>
            </w:r>
            <w:r>
              <w:rPr>
                <w:rFonts w:ascii="Times New Roman;Times;serif" w:hAnsi="Times New Roman;Times;serif"/>
                <w:color w:val="000000"/>
                <w:sz w:val="20"/>
              </w:rPr>
              <w:t xml:space="preserve">: experience overseeing or driving product sales, marketing and commercialization, particularly in the biotechnology and pharmaceuticals industries and in the context of payor or reimbursed and regulated markets.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Science &amp; Research</w:t>
            </w:r>
            <w:r>
              <w:rPr>
                <w:rFonts w:ascii="Times New Roman;Times;serif" w:hAnsi="Times New Roman;Times;serif"/>
                <w:color w:val="000000"/>
                <w:sz w:val="20"/>
              </w:rPr>
              <w:t xml:space="preserve">: scientific knowledge related to biotechnology and related industry experience, and experience in related research and clinical development.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Senior Leadership</w:t>
            </w:r>
            <w:r>
              <w:rPr>
                <w:rFonts w:ascii="Times New Roman;Times;serif" w:hAnsi="Times New Roman;Times;serif"/>
                <w:color w:val="000000"/>
                <w:sz w:val="20"/>
              </w:rPr>
              <w:t xml:space="preserve">: experience serving in a leadership role of an organization, including driving strategy execution, organizational growth and managing human capital.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Committee generally believes it is important for all Board members to possess the highest personal and professional ethics, integrity and values, an inquisitive and objective perspective, a sense for priorities and balance, the ability and willingness to devote sufficient time and attention to Board matters, and a willingness to represent the long-term interests of all our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factors discussed above, the Board and the Nominating Committee actively seek to achieve a diversity of viewpoints, occupations, perspectives and backgrounds on the Board. The Nominating Committee assesses its effectiveness in balancing these considerations in connection with its annual evaluation of the composition of the Board. For example, our current Board of five directors includes one director (20%) who self-identifies as female and one director (20%) who self-identifies as racially/ethnically diverse.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Recommendations for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the Nominating Committee’s policy to consider written recommendations from shareholders for director candidates. The committee considers candidates recommended by our shareholders in the same manner as a candidate recommended by other sources. Any such recommendations should be submitted to the committee as described under “Shareholder Communications” and should include the same information required under our MAA for nominating a director, as described under “Shareholder Proposals and Director Nominations for Next Year’s Annual General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Time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Board members benefit from service on the boards of other companies and such service is encouraged, under the Board’s Principles of Corporate Governance, directors are expected to limit the number of other boards on which they serve so as not to interfere with their service as a director of the Company. Directors are expected to advise the Chairperson of the Nominating Committee before accepting a seat on the board of another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2" w:name="ny20067252x1_def14a_109-corporate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Principles of Corporate Governance provide our Board with the flexibility to combine or separate the positions of Chair of the Board and CEO. Our Board believes that there is no single, generally accepted board leadership structure that is appropriate across all circumstances, and that the right structure may vary as circumstances change. As such, the Board periodically reviews its leadership structure to evaluate whether the structure remains appropriate for the Company, and may modify this structure from time to time as and when appropriate to best address the Company’s unique circumstances and advance the best interests of all shareholders. At any time when the Chair of the Board is not independent, the independent directors of the Board will designate an independent director to serve as Lead Independent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Currently, Dr. Santos da Silva, our CEO, also serves as our Interim Chair of the Board, and the independent directors have selected Mr. Loy to serve as our Lead Independent Director. The Board believes that this is the appropriate board leadership structure for us at this time. Combining the roles of CEO and Chair of the Board on an interim basis provides unified leadership during this time of transition whereby the person responsible for driving strategy and agenda setting at the Board level is also responsible for executing on that strategy as CEO, while our Lead Independent Director, combined with a Board that is completely independent except for the CEO, provides independent Board oversight of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Lead Independent Director’s responsibilities include: (a) presiding at meetings of the Board at which the Chair of the Board is not present, including executive sessions of the independent directors; (b) consulting on information sent to the Board; (c) consulting on the agenda and schedule for Board meetings so that there is sufficient time for discussion of all agenda items; (d) serving as liaison between the Chair of the Board and the independent directors; (e) being available for consultation and communication with major shareholders upon request; and (f) performing such other duties as the Board may determine from time to time. The Lead Independent Director also has the authority to call executive sessions of the independent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independent directors have the opportunity to meet in executive sessions without management present at every regular Board meeting and at such other times as may be determined by the Lead Independent Director. The purpose of these executive sessions is to encourage and enhance communication among the independent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its programs for overseeing risk, as described under “Board Risk Oversight”, would be effective under a variety of leadership frameworks. Accordingly, the Board’s risk oversight function did not significantly impact its selection of the current leadership structure.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Nasdaq listing rules require a majority of a listed company’s board of directors to be comprised of independent directors who, in the opinion of the board of directors, do not have a relationship that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undertook a review of its composition and the independence of each director. Based upon information requested from and provided by each director concerning his or her background, employment and affiliations, our Board has determined that Mr. Loy, Drs. Phillips and Xavier, and Ms. Moukheibir qualify as “independent directors” as defined by the Nasdaq listing rules. Dr. Santos da Silva is not deemed to be independent under Nasdaq listing rules by virtue of his employment with the Company. Former director Simon Sturge was independent under Nasdaq listing rules during the period he served on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also determined that each of the directors currently serving on the Audit Committee and the Compensation Committee satisfy the additional independence criteria applicable to directors on such committees under Nasdaq listing rules and the rules and regulations established by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3" w:name="ny20067252x1_def14a_109-corporate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 separately designated Audit Committee, Compensation Committee and Nominating Committee, each of which has the composition and responsibilities described below. Members serve on these committees until their resignation or until otherwise determined by our Board. Each of these committees is empowered to retain outside advisors as it deems appropriate, regularly reports its activities to the full Board and has a written charter, which is posted on our website located at </w:t>
      </w:r>
      <w:r>
        <w:rPr>
          <w:rFonts w:ascii="Times New Roman;Times;serif" w:hAnsi="Times New Roman;Times;serif"/>
          <w:i/>
          <w:color w:val="000000"/>
          <w:sz w:val="20"/>
        </w:rPr>
        <w:t>ir.moonlaketx.com</w:t>
      </w:r>
      <w:r>
        <w:rPr>
          <w:rFonts w:ascii="Times New Roman;Times;serif" w:hAnsi="Times New Roman;Times;serif"/>
          <w:color w:val="000000"/>
          <w:sz w:val="20"/>
        </w:rPr>
        <w:t xml:space="preserve">, under “Corporate Governance”. </w:t>
      </w:r>
    </w:p>
    <w:tbl>
      <w:tblPr>
        <w:tblW w:w="5975" w:type="dxa"/>
        <w:jc w:val="left"/>
        <w:tblInd w:w="0" w:type="dxa"/>
        <w:tblLayout w:type="fixed"/>
        <w:tblCellMar>
          <w:top w:w="0" w:type="dxa"/>
          <w:left w:w="0" w:type="dxa"/>
          <w:bottom w:w="0" w:type="dxa"/>
          <w:right w:w="0" w:type="dxa"/>
        </w:tblCellMar>
      </w:tblPr>
      <w:tblGrid>
        <w:gridCol w:w="2075"/>
        <w:gridCol w:w="170"/>
        <w:gridCol w:w="170"/>
        <w:gridCol w:w="845"/>
        <w:gridCol w:w="170"/>
        <w:gridCol w:w="170"/>
        <w:gridCol w:w="1085"/>
        <w:gridCol w:w="170"/>
        <w:gridCol w:w="170"/>
        <w:gridCol w:w="950"/>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Nominating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Spike Loy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Catherine Moukheibir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Andrew Phillips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Ramnik Xavier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of Meetings in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Audit Committee</w:t>
      </w:r>
      <w:r>
        <w:rPr>
          <w:rFonts w:ascii="Times New Roman;Times;serif" w:hAnsi="Times New Roman;Times;serif"/>
          <w:b w:val="false"/>
          <w:i w:val="false"/>
          <w:caps w:val="false"/>
          <w:smallCaps w:val="false"/>
          <w:color w:val="000000"/>
          <w:sz w:val="20"/>
        </w:rPr>
        <w:t xml:space="preserve">. The primary responsibilities of our Audit Committee are to oversee the accounting and financial reporting processes of the Company, including the audits of the Company’s financial statements, the integrity of the financial statements and the annual review of the performance, effectiveness and independence of the outside auditor. This includes reviewing the financial information provided to shareholders and others and the adequacy and effectiveness of the Company’s internal controls. The committee also makes recommendations to the Board as to whether financial statements should be included in the Company’s Annual Report on Form 10-K.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Moukheibir qualifies as an “audit committee financial expert”, as that term is defined in the rules and regulations established by the SEC, and all members of the Audit Committee are “financially literate” under Nasdaq listing rules.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Compensation Committee</w:t>
      </w:r>
      <w:r>
        <w:rPr>
          <w:rFonts w:ascii="Times New Roman;Times;serif" w:hAnsi="Times New Roman;Times;serif"/>
          <w:b w:val="false"/>
          <w:i w:val="false"/>
          <w:caps w:val="false"/>
          <w:smallCaps w:val="false"/>
          <w:color w:val="000000"/>
          <w:sz w:val="20"/>
        </w:rPr>
        <w:t xml:space="preserve">. The primary responsibilities of our Compensation Committee are to periodically review and approve the compensation and other benefits for our senior officers and directors. This includes reviewing and approving corporate goals and objectives relevant to the compensation of our senior officers, evaluating the performance of these officers in light of the goals and objectives and setting the officers’ compensation based on those evaluations. The committee also administers and makes recommendations to the Board regarding equity incentive plans that are subject to the Board’s approval and approves the grant of equity awards under the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delegate its authority to one or more subcommittees. The committee may also delegate authority to review and approve the compensation of our employees to certain of our executive officers. Even where the committee does not delegate authority, our executive officers will typically make recommendations to the committee regarding compensation to be paid to our employees and the size of equity awards under our equity incentive plans but will not be present during voting or deliberations on their own compensation. The committee has the authority to engage outside advisors, such as compensation consultants, to assist it in carrying out its responsibilities. The committee engaged Deloitte AG (“Deloitte”) in 2025 to provide advice regarding the amount and form of executive and director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Compensation Committee Interlocks and Insider Participation.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None of the members of our Compensation Committee has at any time during the prior three years been one of our officers or employees. None of our executive officers currently serves, or in the past fiscal year has served, as a member of the board or compensation committee of any entity that has one or more executive officers serving on our Board or Compensation Committee.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Nominating Committee</w:t>
      </w:r>
      <w:r>
        <w:rPr>
          <w:rFonts w:ascii="Times New Roman;Times;serif" w:hAnsi="Times New Roman;Times;serif"/>
          <w:b w:val="false"/>
          <w:i w:val="false"/>
          <w:caps w:val="false"/>
          <w:smallCaps w:val="false"/>
          <w:color w:val="000000"/>
          <w:sz w:val="20"/>
        </w:rPr>
        <w:t xml:space="preserve">. The primary responsibilities of our Nominating Committee are to engage in succession planning for the Board, develop and recommend to the Board criteria for identifying and evaluating qualified director candidates and make recommendations to the Board regarding candidates for election or reelection to the Board at each annual shareholders’ meeting. In addition, the committee is responsible for overseeing our corporate governance practices and making recommendations to the Board concerning corporate governance matters. The committee is also responsible for making recommendations to the Board concerning the structure, composition and functioning of the Board and its committees.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4" w:name="ny20067252x1_def14a_109-corporate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Risk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risk management is an important part of establishing and executing on the Company’s business strategy. Our Board, as a whole and at the committee level, focuses its oversight on the most significant risks facing the Company and on the Company’s processes to identify, prioritize, assess, manage and mitigate those risks. The committees oversee specific risks within their purview,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The Audit Committee</w:t>
            </w:r>
            <w:r>
              <w:rPr>
                <w:rFonts w:ascii="Times New Roman;Times;serif" w:hAnsi="Times New Roman;Times;serif"/>
                <w:color w:val="000000"/>
                <w:sz w:val="20"/>
              </w:rPr>
              <w:t xml:space="preserve"> has overall responsibility for overseeing the Company’s practices with respect to risk assessment and management. Additionally, the committee is responsible for overseeing management of risks related to our accounting and financial reporting processes, and information technology and cybersecurity.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The Compensation Committee</w:t>
            </w:r>
            <w:r>
              <w:rPr>
                <w:rFonts w:ascii="Times New Roman;Times;serif" w:hAnsi="Times New Roman;Times;serif"/>
                <w:color w:val="000000"/>
                <w:sz w:val="20"/>
              </w:rPr>
              <w:t xml:space="preserve"> is responsible for overseeing management of risks related to our compensation policies and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The Nominating Committee</w:t>
            </w:r>
            <w:r>
              <w:rPr>
                <w:rFonts w:ascii="Times New Roman;Times;serif" w:hAnsi="Times New Roman;Times;serif"/>
                <w:color w:val="000000"/>
                <w:sz w:val="20"/>
              </w:rPr>
              <w:t xml:space="preserve"> is responsible for overseeing management of risks related to director succession planning and corporate governance practices.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and its committees receive regular reports from members of the Company’s senior management on areas of material risk to the Company, including strategic, operational, financial, legal and regulatory risks. While our Board has an oversight role, management is principally tasked with direct responsibility for assessing and managing risks, including implementing processes and controls to mitigate their effects on the Company.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Corporate Governance Practices and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met eleven times during the year ended December 31, 2025. Each member of the Board attended at least 75% of the aggregate number of meetings of the Board and the committees on which he or she served during the period in which he or she was on the Board or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are encouraged to attend the annual general meeting of shareholders. All of our directors then serving on the Board attended our 2025 Annual General Meeting of Shareholders.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Communications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and other interested parties may communicate with our Board or a particular director by sending a letter addressed to the Board or a particular director to our Corporate Secretary at the address set forth on the first page of this Proxy Statement. These communications will be compiled and reviewed by our Corporate Secretary, who will determine whether the communication is appropriate for presentation to the Board or the particular director. The purpose of this screening is to allow the Board to avoid having to consider irrelevant or inappropriate communications (such as advertisements, solicitations and hostile communications).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enable the Company to speak with a single voice, as a general matter, senior management serves as the primary spokesperson for the Company and is responsible for communicating with various constituencies, including shareholders, on behalf of the Company. Directors may participate in discussions with shareholders and other constituencies on issues where Board-level involvement is appropriate. In addition, the Board is kept informed by Company management of the Company’s shareholder engagement efforts.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Code of Business Conduct and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a Code of Business Conduct and Ethics (the “Conduct and Ethics Code”) that applies to all of our directors, officers and employees, including our principal executive officer, principal financial officer and principal accounting officer. Among other things, the Conduct and Ethics Code establishes certain guidelines and principles relating to (i) compliance with laws and regulations, (ii) conflicts of interest, (iii) corporate opportunities, (iv) gifts, (v) confidentiality, (vi) protection and use of Company assets, (vii) record keeping, (viii) environmental, health and safety, (ix) discrimination and harassment, (x) prohibition against payments to government personnel and (xi) insider information and securities trading, as well as establishes internal reporting and compliance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copy of the Conduct and Ethics Code is available on our website at </w:t>
      </w:r>
      <w:r>
        <w:rPr>
          <w:rFonts w:ascii="Times New Roman;Times;serif" w:hAnsi="Times New Roman;Times;serif"/>
          <w:i/>
          <w:color w:val="000000"/>
          <w:sz w:val="20"/>
        </w:rPr>
        <w:t>ir.moonlaketx.com</w:t>
      </w:r>
      <w:r>
        <w:rPr>
          <w:rFonts w:ascii="Times New Roman;Times;serif" w:hAnsi="Times New Roman;Times;serif"/>
          <w:color w:val="000000"/>
          <w:sz w:val="20"/>
        </w:rPr>
        <w:t xml:space="preserve">, under “Corporate Governance”. We intend to disclose future amendments to certain provisions of the Conduct and Ethics Code, and waivers of the Conduct and Ethics Code granted to executive officers and directors, on our website within four business days following the date of the amendment or waiver to the extent required by applicable rules. Our Board is responsible for applying and interpreting the code in situations where questions are presented to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5" w:name="ny20067252x1_def14a_109-corporate_pg6"/>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director compensation program pursuant to which members of our Board who are not employees or officers of our Company or our affiliates receive cash retainers, payable quarterly in advance. The cash retainers payable in respect of fiscal year 2025 are as follows: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cash retainer of $40,000; </w:t>
            </w:r>
          </w:p>
        </w:tc>
      </w:tr>
    </w:tbl>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Cash retainer of $35,000 for service as the Chairperson of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Cash retainer of $17,500 for service as chairperson and $7,500 for service other than as chairperson of the Audit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Cash retainer of $12,000 for service as chairperson and $5,000 for service other than as chairperson of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Cash retainer of $8,000 for service as chairperson and $4,000 for service other than as chairperson of the Nominating Committee; and </w:t>
            </w:r>
          </w:p>
        </w:tc>
      </w:tr>
    </w:tbl>
    <w:tbl>
      <w:tblPr>
        <w:tblW w:w="10030" w:type="dxa"/>
        <w:jc w:val="left"/>
        <w:tblInd w:w="0" w:type="dxa"/>
        <w:tblLayout w:type="fixed"/>
        <w:tblCellMar>
          <w:top w:w="0" w:type="dxa"/>
          <w:left w:w="0" w:type="dxa"/>
          <w:bottom w:w="0" w:type="dxa"/>
          <w:right w:w="0" w:type="dxa"/>
        </w:tblCellMar>
      </w:tblPr>
      <w:tblGrid>
        <w:gridCol w:w="140"/>
        <w:gridCol w:w="9890"/>
      </w:tblGrid>
      <w:tr>
        <w:trPr/>
        <w:tc>
          <w:tcPr>
            <w:tcW w:w="14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Cash retainer of $35,000 for service on non-Board committees of the Company, including the Scientific Advisory Board.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in 2025, each of our non-employee directors received a grant of 6,682 share options on June 5, 2025 under the Incentive Plan that vest in full on the earlier of (i) the one-year anniversary of the date of grant and (ii) the next annual general meeting of shareholders, subject to continued service through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Members of our Board are also eligible to receive reimbursement for reasonable travel and miscellaneous expenses incurred in attending meetings and activities of our Board and its committees. Additionally, directors who are (or were) also members of the board of directors of MoonLake AG (Messrs. Sturge and Loy and Dr. Phillips) are reimbursed for business expenses reasonably incurred in connection with such services.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Non-Employee 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information concerning the compensation awarded to, earned by and paid to the non-employee directors for services rendered to the Company for the year ended December 31, 2025. </w:t>
      </w:r>
    </w:p>
    <w:tbl>
      <w:tblPr>
        <w:tblW w:w="6215" w:type="dxa"/>
        <w:jc w:val="left"/>
        <w:tblInd w:w="0" w:type="dxa"/>
        <w:tblLayout w:type="fixed"/>
        <w:tblCellMar>
          <w:top w:w="0" w:type="dxa"/>
          <w:left w:w="0" w:type="dxa"/>
          <w:bottom w:w="0" w:type="dxa"/>
          <w:right w:w="0" w:type="dxa"/>
        </w:tblCellMar>
      </w:tblPr>
      <w:tblGrid>
        <w:gridCol w:w="1880"/>
        <w:gridCol w:w="170"/>
        <w:gridCol w:w="170"/>
        <w:gridCol w:w="1190"/>
        <w:gridCol w:w="170"/>
        <w:gridCol w:w="170"/>
        <w:gridCol w:w="1205"/>
        <w:gridCol w:w="170"/>
        <w:gridCol w:w="170"/>
        <w:gridCol w:w="920"/>
      </w:tblGrid>
      <w:tr>
        <w:trPr/>
        <w:tc>
          <w:tcPr>
            <w:tcW w:w="18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88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Simon Sturge</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$90,500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$224,349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$314,849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Spike Loy</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$224,349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$276,849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Catherine Moukheibir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$224,349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$286,849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Andrew Phillips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$224,349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$280,349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Ramnik Xavier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$224,349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$299,349</w:t>
            </w:r>
          </w:p>
        </w:tc>
      </w:tr>
      <w:tr>
        <w:trPr/>
        <w:tc>
          <w:tcPr>
            <w:tcW w:w="18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shown under the “Options Awards” column are calculated using the Black-Scholes option valuation model. While the amounts shown are computed in accordance with Financial Accounting Standards Board (“FASB”) Accounting Standards Codification (“ASC”) Topic 718, the actual value, if any, that a non-employee director may realize from the options are contingent upon the excess of the share price over the exercise price, if any, on the date the award is exercised. For a discussion of the assumptions made in the valuation of options granted in 2025, see Note 14 — “Share-based Compensation” of our audited consolidated financial statements as of and for the period ended December 31, 2025 in our Annual Report on Form 10-K for further information.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on the aggregate number of outstanding share option awards for each non-employee director as of December 31, 2025. </w:t>
            </w:r>
          </w:p>
        </w:tc>
      </w:tr>
    </w:tbl>
    <w:tbl>
      <w:tblPr>
        <w:tblW w:w="3665" w:type="dxa"/>
        <w:jc w:val="left"/>
        <w:tblInd w:w="0" w:type="dxa"/>
        <w:tblLayout w:type="fixed"/>
        <w:tblCellMar>
          <w:top w:w="0" w:type="dxa"/>
          <w:left w:w="0" w:type="dxa"/>
          <w:bottom w:w="0" w:type="dxa"/>
          <w:right w:w="0" w:type="dxa"/>
        </w:tblCellMar>
      </w:tblPr>
      <w:tblGrid>
        <w:gridCol w:w="1595"/>
        <w:gridCol w:w="170"/>
        <w:gridCol w:w="170"/>
        <w:gridCol w:w="1730"/>
      </w:tblGrid>
      <w:tr>
        <w:trPr/>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Simon Sturge</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ind w:left="51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70,667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Spike Loy</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51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25,667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Catherine Moukheibir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ind w:left="51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47,167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Dr. Andrew Phillips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51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70,667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Dr. Ramnik Xavier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ind w:left="519" w:right="0" w:hanging="0"/>
              <w:jc w:val="left"/>
              <w:rPr>
                <w:rFonts w:ascii="Times New Roman;Times;serif" w:hAnsi="Times New Roman;Times;serif"/>
                <w:color w:val="000000"/>
                <w:sz w:val="16"/>
              </w:rPr>
            </w:pPr>
            <w:r>
              <w:rPr>
                <w:rFonts w:ascii="Times New Roman;Times;serif" w:hAnsi="Times New Roman;Times;serif"/>
                <w:color w:val="000000"/>
                <w:sz w:val="16"/>
              </w:rPr>
              <w:t>70,667</w:t>
            </w:r>
          </w:p>
        </w:tc>
      </w:tr>
      <w:tr>
        <w:trPr/>
        <w:tc>
          <w:tcPr>
            <w:tcW w:w="15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0"/>
              <w:jc w:val="left"/>
              <w:rPr/>
            </w:pPr>
            <w:r>
              <w:rPr/>
              <w:t> </w:t>
            </w:r>
          </w:p>
        </w:tc>
      </w:tr>
    </w:tbl>
    <w:tbl>
      <w:tblPr>
        <w:tblW w:w="5290" w:type="dxa"/>
        <w:jc w:val="left"/>
        <w:tblInd w:w="0" w:type="dxa"/>
        <w:tblLayout w:type="fixed"/>
        <w:tblCellMar>
          <w:top w:w="0" w:type="dxa"/>
          <w:left w:w="0" w:type="dxa"/>
          <w:bottom w:w="0" w:type="dxa"/>
          <w:right w:w="0" w:type="dxa"/>
        </w:tblCellMar>
      </w:tblPr>
      <w:tblGrid>
        <w:gridCol w:w="260"/>
        <w:gridCol w:w="50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Sturge resigned from the Board effective as of February 28, 2026.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Pursuant to a certain agreement entered into between Mr. Loy and BVF Partners L.P. (“Partners”), Mr. Loy is obligated to transfer to Partners the economic benefit, if any, received upon the sale of the shares issuable upon the exercise of his options.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6" w:name="ny20067252x1_def14a_110-executive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EO"/>
      <w:bookmarkEnd w:id="37"/>
      <w:r>
        <w:rPr>
          <w:rFonts w:ascii="Times New Roman;Times;serif" w:hAnsi="Times New Roman;Times;serif"/>
          <w:b/>
          <w:color w:val="000000"/>
          <w:sz w:val="20"/>
        </w:rPr>
        <w:t xml:space="preserve">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Biographical and other information regarding our executive officers is set forth below. There are no family relationships among any of our directors or executive officers. </w:t>
      </w:r>
    </w:p>
    <w:tbl>
      <w:tblPr>
        <w:tblW w:w="8390" w:type="dxa"/>
        <w:jc w:val="left"/>
        <w:tblInd w:w="0" w:type="dxa"/>
        <w:tblLayout w:type="fixed"/>
        <w:tblCellMar>
          <w:top w:w="0" w:type="dxa"/>
          <w:left w:w="0" w:type="dxa"/>
          <w:bottom w:w="0" w:type="dxa"/>
          <w:right w:w="0" w:type="dxa"/>
        </w:tblCellMar>
      </w:tblPr>
      <w:tblGrid>
        <w:gridCol w:w="2285"/>
        <w:gridCol w:w="170"/>
        <w:gridCol w:w="170"/>
        <w:gridCol w:w="1130"/>
        <w:gridCol w:w="170"/>
        <w:gridCol w:w="170"/>
        <w:gridCol w:w="429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0"/>
              <w:jc w:val="left"/>
              <w:rPr/>
            </w:pPr>
            <w:r>
              <w:rPr/>
              <w:t> </w:t>
            </w:r>
          </w:p>
        </w:tc>
      </w:tr>
      <w:tr>
        <w:trPr/>
        <w:tc>
          <w:tcPr>
            <w:tcW w:w="22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(as of April 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Interim Chair of the Board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Scientific Officer</w:t>
            </w:r>
          </w:p>
        </w:tc>
      </w:tr>
      <w:tr>
        <w:trPr/>
        <w:tc>
          <w:tcPr>
            <w:tcW w:w="22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95" w:type="dxa"/>
            <w:tcBorders/>
            <w:shd w:fill="CCEEFF" w:val="clear"/>
            <w:vAlign w:val="center"/>
          </w:tcPr>
          <w:p>
            <w:pPr>
              <w:pStyle w:val="TableContents"/>
              <w:bidi w:val="0"/>
              <w:spacing w:before="0" w:after="0"/>
              <w:jc w:val="left"/>
              <w:rPr/>
            </w:pPr>
            <w:r>
              <w:rPr/>
              <w:t> </w:t>
            </w:r>
          </w:p>
        </w:tc>
      </w:tr>
    </w:tbl>
    <w:tbl>
      <w:tblPr>
        <w:tblW w:w="9850" w:type="dxa"/>
        <w:jc w:val="left"/>
        <w:tblInd w:w="0" w:type="dxa"/>
        <w:tblLayout w:type="fixed"/>
        <w:tblCellMar>
          <w:top w:w="0" w:type="dxa"/>
          <w:left w:w="0" w:type="dxa"/>
          <w:bottom w:w="0" w:type="dxa"/>
          <w:right w:w="0" w:type="dxa"/>
        </w:tblCellMar>
      </w:tblPr>
      <w:tblGrid>
        <w:gridCol w:w="260"/>
        <w:gridCol w:w="95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5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Santos da Silva’s biographical information, see “Information Regarding the Director Nominee and Continuing Directors” above.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Matthias Bodenstedt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Chief Financial Officer of our Company since April 2022. He previously served as the Chief Financial Officer of MoonLake AG from July 2021 until April 2022. He has served as a director of our subsidiaries, MoonLake Immunotherapeutics Ltd. (“MoonLake Ltd.”) and MNLK Immunotherapeutics Unipessoal Lda since September 2021 and November 2023, respectively. Prior to joining our Company, from October 2011 to June 2021, Mr. Bodenstedt was a Partner at McKinsey &amp; Company, Inc., a consulting firm, in Germany and Switzerland, where he advised a diverse set of clients, ranging from pre-revenue biotechnology companies to large global pharmaceutical companies. Mr. Bodenstedt has experience in financing, mergers and acquisitions, business development and licensing, portfolio strategy, and go-to-market strategy and execution. Mr. Bodenstedt holds an M.B.A. from Columbia Business School (New York), an M.Phil. in Finance from the University of Cambridge (United Kingdom), and B.Sc. in Industrial Engineering from the University of Hannover (Germany).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Dr. Kristian Reich</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Chief Scientific Officer of our Company since April 2022. He is a co-founder of MoonLake AG and served as its Chief Scientific Officer from May 2021 until April 2022. Dr. Reich has more than 25 years of experience as a global clinical leader in dermatology and immunology, with more than 300 peer-reviewed publications in mucosal and skin immunology. He received the Herbert-Herxheimer Research Prize from the German Society for Allergology and Clinical Immunology and the Stars of the Academy Award for achievements in psoriasis from the American Academy of Dermatology. Dr. Reich has served as a Guest-Professor for Translational Research in Inflammatory Skin Diseases at the University Medical Center Hamburg-Eppendorf, Germany, since April 2019. From 2005 to 2015, he served as managing partner at the Dermatologikum Hamburg, a private outpatient dermatology clinic, and he has served as a self-employed partner at the Dermatologikum Berlin, a private outpatient dermatology clinic, since 2013. Between 1996 and 2005, he held several clinical and teaching positions at the Department of Dermatology, Georg-August-University Goettingen, Germany, including most recently serving as University Professor and Vice Director of the Department of Dermatology. Dr. Reich is an independent medical director and founder of JeruCON Beratungsgesellschaft mbH Hamburg, where he is a self-employed consultant. Since 2016, Dr. Reich also serves as a medical advisor for TFS HealthScience, a contract research organization. Dr. Reich is also a member of the board of directors of Derma2go AG (Zürich, Switzerland), a privately held teledermatology company, Dermagnostix GmbH (Freiburg, Germany), a privately-held diagnostic medical device company and ProDerma Foundation (Hamburg, Germany), a charitable foundation focusing on dermatological research. Dr. Reich was accredited in Dermatology and Venerology in 2000 and in Allergology in 2003. He received his Dr. med. (M.D. equivalent) from the Technical University Munich (Germany) and his Venia legendi (Ph.D. equivalent) in Dermatology and Venerology from the Georg-August-University (Germany).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8" w:name="ny20067252x1_def14a_111-cda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EC"/>
      <w:bookmarkEnd w:id="39"/>
      <w:r>
        <w:rPr>
          <w:rFonts w:ascii="Times New Roman;Times;serif" w:hAnsi="Times New Roman;Times;serif"/>
          <w:b/>
          <w:color w:val="000000"/>
          <w:sz w:val="20"/>
        </w:rPr>
        <w:t xml:space="preserve">EXECUTIVE COMPENSATION </w:t>
      </w:r>
    </w:p>
    <w:p>
      <w:pPr>
        <w:pStyle w:val="TextBody"/>
        <w:bidi w:val="0"/>
        <w:spacing w:before="390" w:after="283"/>
        <w:jc w:val="center"/>
        <w:rPr>
          <w:rFonts w:ascii="Times New Roman;Times;serif" w:hAnsi="Times New Roman;Times;serif"/>
          <w:b/>
          <w:color w:val="000000"/>
          <w:sz w:val="20"/>
        </w:rPr>
      </w:pPr>
      <w:bookmarkStart w:id="40" w:name="tCDA"/>
      <w:bookmarkEnd w:id="40"/>
      <w:r>
        <w:rPr>
          <w:rFonts w:ascii="Times New Roman;Times;serif" w:hAnsi="Times New Roman;Times;serif"/>
          <w:b/>
          <w:color w:val="000000"/>
          <w:sz w:val="20"/>
        </w:rPr>
        <w:t xml:space="preserve">COMPENSATION DISCUSSION AND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Compensation Discussion and Analysis (“CD&amp;A”), we provide an overview of our compensation philosophy and each element of our executive compensation program with regard to the compensation awarded to, earned by, or paid to our named executive officers (the “NEOs”) during our fiscal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fiscal year ended December 31, 2025, our NEOs, which consisted of all of our executive officers during the year, were: </w:t>
      </w:r>
    </w:p>
    <w:tbl>
      <w:tblPr>
        <w:tblW w:w="6710" w:type="dxa"/>
        <w:jc w:val="left"/>
        <w:tblInd w:w="0" w:type="dxa"/>
        <w:tblLayout w:type="fixed"/>
        <w:tblCellMar>
          <w:top w:w="0" w:type="dxa"/>
          <w:left w:w="0" w:type="dxa"/>
          <w:bottom w:w="0" w:type="dxa"/>
          <w:right w:w="0" w:type="dxa"/>
        </w:tblCellMar>
      </w:tblPr>
      <w:tblGrid>
        <w:gridCol w:w="2075"/>
        <w:gridCol w:w="170"/>
        <w:gridCol w:w="170"/>
        <w:gridCol w:w="4295"/>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Interim Chair of the Board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Scientific Officer</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Highlights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we further progressed with the development of SLK, started preparations for the filing of a BLA with the Food and Drug Administration (“FDA”) in the United States, and advanced preparatory work for an anticipated first commercial launch in 2027. Business highlights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Completed enrollment and reported primary endpoint results of the Phase 3 VELA trials in hidradenitis suppurativa, and successfully conducted a subsequent Type B interaction with the FDA to validate the path to BLA; </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Initiated an open label extension study for the VELA trials; </w:t>
            </w:r>
          </w:p>
        </w:tc>
      </w:tr>
    </w:tbl>
    <w:tbl>
      <w:tblPr>
        <w:tblW w:w="8095" w:type="dxa"/>
        <w:jc w:val="left"/>
        <w:tblInd w:w="0" w:type="dxa"/>
        <w:tblLayout w:type="fixed"/>
        <w:tblCellMar>
          <w:top w:w="0" w:type="dxa"/>
          <w:left w:w="0" w:type="dxa"/>
          <w:bottom w:w="0" w:type="dxa"/>
          <w:right w:w="0" w:type="dxa"/>
        </w:tblCellMar>
      </w:tblPr>
      <w:tblGrid>
        <w:gridCol w:w="140"/>
        <w:gridCol w:w="7955"/>
      </w:tblGrid>
      <w:tr>
        <w:trPr/>
        <w:tc>
          <w:tcPr>
            <w:tcW w:w="14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Completed enrollment and reported results of the Phase 2 LEDA trial in palmoplantar pustulosis; </w:t>
            </w:r>
          </w:p>
        </w:tc>
      </w:tr>
    </w:tbl>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Continued enrollment of the Phase 3 IZAR-1 and IZAR-2 trials in psoriatic arthritis; </w:t>
            </w:r>
          </w:p>
        </w:tc>
      </w:tr>
    </w:tbl>
    <w:tbl>
      <w:tblPr>
        <w:tblW w:w="6700" w:type="dxa"/>
        <w:jc w:val="left"/>
        <w:tblInd w:w="0" w:type="dxa"/>
        <w:tblLayout w:type="fixed"/>
        <w:tblCellMar>
          <w:top w:w="0" w:type="dxa"/>
          <w:left w:w="0" w:type="dxa"/>
          <w:bottom w:w="0" w:type="dxa"/>
          <w:right w:w="0" w:type="dxa"/>
        </w:tblCellMar>
      </w:tblPr>
      <w:tblGrid>
        <w:gridCol w:w="140"/>
        <w:gridCol w:w="6560"/>
      </w:tblGrid>
      <w:tr>
        <w:trPr/>
        <w:tc>
          <w:tcPr>
            <w:tcW w:w="14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Completed enrollment of the Phase 2 S-OLARIS trial in axial spondyloarthritis; </w:t>
            </w:r>
          </w:p>
        </w:tc>
      </w:tr>
    </w:tbl>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Initiated the Phase 2 P-OLARIS trial in seronegative spondyloarthritis;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Completed pharmacokinetic and human factor studies supporting the use of an autoinjector for the commercial launch of SLK;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Raised $75 million in additional capital to support the continued development of SLK, including the planned initiation of a Phase 3 clinical trial in palmoplantar pustulosis; </w:t>
            </w:r>
          </w:p>
        </w:tc>
      </w:tr>
    </w:tbl>
    <w:tbl>
      <w:tblPr>
        <w:tblW w:w="9190" w:type="dxa"/>
        <w:jc w:val="left"/>
        <w:tblInd w:w="0" w:type="dxa"/>
        <w:tblLayout w:type="fixed"/>
        <w:tblCellMar>
          <w:top w:w="0" w:type="dxa"/>
          <w:left w:w="0" w:type="dxa"/>
          <w:bottom w:w="0" w:type="dxa"/>
          <w:right w:w="0" w:type="dxa"/>
        </w:tblCellMar>
      </w:tblPr>
      <w:tblGrid>
        <w:gridCol w:w="140"/>
        <w:gridCol w:w="9050"/>
      </w:tblGrid>
      <w:tr>
        <w:trPr/>
        <w:tc>
          <w:tcPr>
            <w:tcW w:w="14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Entered into a debt facility with Hercules Capital, securing access of up to $500 million in non-dilutive funds;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Started stockpiling of drug substance of SLK to serve as launch inventory;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Grew the Company from approximately 100 to 120 employees and initiated a trainee program to secure and invest in future talent.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Advisory Vote on Executive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year, our shareholders are provided the opportunity to cast an advisory vote on the compensation of our named executive officers, or the “say-on-pay” vote, and the Compensation Committee considers the outcome of the prior year’s say-on-pay vote when making decisions relating to the compensation of our named executive officers and our executive compensation programs. We received 99% support for our say-on-pay proposal at our 2025 Annual Meeting, representing overall support of our executive compensation programs. We did not make any changes to our executive compensation programs as a result of the say-on-pay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1" w:name="ny20067252x1_def14a_111-cda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Highlights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believes that executive compensation should be directly linked to short-term and long-term performance. A few of the key decisions made by the Compensation Committee aligned with such philosophy are as follows: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No base salary adjustments</w:t>
      </w:r>
      <w:r>
        <w:rPr>
          <w:rFonts w:ascii="Times New Roman;Times;serif" w:hAnsi="Times New Roman;Times;serif"/>
          <w:i w:val="false"/>
          <w:caps w:val="false"/>
          <w:smallCaps w:val="false"/>
          <w:color w:val="000000"/>
          <w:sz w:val="20"/>
        </w:rPr>
        <w:t xml:space="preserve">: Base salaries for our named executive officers remained the same in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 annual bonuses</w:t>
      </w:r>
      <w:r>
        <w:rPr>
          <w:rFonts w:ascii="Times New Roman;Times;serif" w:hAnsi="Times New Roman;Times;serif"/>
          <w:i w:val="false"/>
          <w:caps w:val="false"/>
          <w:smallCaps w:val="false"/>
          <w:color w:val="000000"/>
          <w:sz w:val="20"/>
        </w:rPr>
        <w:t xml:space="preserve">: Notwithstanding that corporate performance goals were achieved, our named executive officers voluntarily agreed to waive their cash bonus payouts for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Annual equity awards: </w:t>
      </w:r>
      <w:r>
        <w:rPr>
          <w:rFonts w:ascii="Times New Roman;Times;serif" w:hAnsi="Times New Roman;Times;serif"/>
          <w:i w:val="false"/>
          <w:caps w:val="false"/>
          <w:smallCaps w:val="false"/>
          <w:color w:val="000000"/>
          <w:sz w:val="20"/>
        </w:rPr>
        <w:t xml:space="preserve">In 2025, our named executive officers received either shares of restricted stock or options with time-based vesting requirements.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Philosophy and Objectives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officer compensation program focuses on attracting, retaining and rewarding executive officers in order to promote our long-term success. In setting compensation levels and designing the elements of our program, we seek to establish overall compensation levels that are internally equitable and competitive with the talent market. We regularly review our executive officer compensation program with the goal of motivating our executive team to achieve our strategic goals and aligning them with the interests of our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historically compensated executive officers with three primary compensation components: a base salary, an annual bonus opportunity and, at times, equity-based compensation. The Compensation Committee believes that cash compensation in the form of base salary and an annual bonus opportunity provides our executive officers with short-term rewards for success in achieving annual goals and objectives, and that long-term compensation through the grant of equity awards aligns the objectives of management with those of our shareholders with respect to long-term performance and success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setting compensation levels for our executive officers, the Compensation Committee considers a variety of factors, including peer group survey data, tenure, role, responsibilities, performance and competitive market practices. Compensation paid to our named executive officers is delivered primarily through at-risk pay, based on both short-term and long-term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our compensation elements, the following compensation program features are designed to align our executive team’s interests with shareholder interests and market best practices.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Best Practice Highlights </w:t>
      </w:r>
    </w:p>
    <w:tbl>
      <w:tblPr>
        <w:tblW w:w="10205" w:type="dxa"/>
        <w:jc w:val="left"/>
        <w:tblInd w:w="0" w:type="dxa"/>
        <w:tblLayout w:type="fixed"/>
        <w:tblCellMar>
          <w:top w:w="0" w:type="dxa"/>
          <w:left w:w="0" w:type="dxa"/>
          <w:bottom w:w="0" w:type="dxa"/>
          <w:right w:w="0" w:type="dxa"/>
        </w:tblCellMar>
      </w:tblPr>
      <w:tblGrid>
        <w:gridCol w:w="330"/>
        <w:gridCol w:w="170"/>
        <w:gridCol w:w="170"/>
        <w:gridCol w:w="9535"/>
      </w:tblGrid>
      <w:tr>
        <w:trPr/>
        <w:tc>
          <w:tcPr>
            <w:tcW w:w="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0"/>
              <w:jc w:val="left"/>
              <w:rPr/>
            </w:pPr>
            <w:r>
              <w:rPr/>
              <w:t> </w:t>
            </w:r>
          </w:p>
        </w:tc>
      </w:tr>
      <w:tr>
        <w:trPr/>
        <w:tc>
          <w:tcPr>
            <w:tcW w:w="330" w:type="dxa"/>
            <w:tcBorders/>
            <w:vAlign w:val="center"/>
          </w:tcPr>
          <w:p>
            <w:pPr>
              <w:pStyle w:val="TableContents"/>
              <w:bidi w:val="0"/>
              <w:spacing w:before="0" w:after="283"/>
              <w:jc w:val="center"/>
              <w:rPr>
                <w:color w:val="000000"/>
              </w:rPr>
            </w:pPr>
            <w:r>
              <w:rPr>
                <w:color w:val="000000"/>
              </w:rPr>
              <w:drawing>
                <wp:inline distT="0" distB="0" distL="0" distR="0">
                  <wp:extent cx="18097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0975" cy="152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Use of Independent Compensation Consultant. </w:t>
            </w:r>
            <w:r>
              <w:rPr>
                <w:rFonts w:ascii="Times New Roman;Times;serif" w:hAnsi="Times New Roman;Times;serif"/>
                <w:b w:val="false"/>
                <w:color w:val="000000"/>
                <w:sz w:val="20"/>
              </w:rPr>
              <w:t xml:space="preserve">The Compensation Committee receives objective advice from its independent compensation consultant. </w:t>
            </w:r>
          </w:p>
        </w:tc>
      </w:tr>
      <w:tr>
        <w:trPr/>
        <w:tc>
          <w:tcPr>
            <w:tcW w:w="3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0"/>
              <w:jc w:val="left"/>
              <w:rPr>
                <w:color w:val="000000"/>
              </w:rPr>
            </w:pPr>
            <w:r>
              <w:rPr>
                <w:color w:val="000000"/>
              </w:rPr>
              <w:t> </w:t>
            </w:r>
          </w:p>
        </w:tc>
      </w:tr>
      <w:tr>
        <w:trPr/>
        <w:tc>
          <w:tcPr>
            <w:tcW w:w="330" w:type="dxa"/>
            <w:tcBorders/>
            <w:vAlign w:val="center"/>
          </w:tcPr>
          <w:p>
            <w:pPr>
              <w:pStyle w:val="TableContents"/>
              <w:bidi w:val="0"/>
              <w:spacing w:before="0" w:after="283"/>
              <w:jc w:val="center"/>
              <w:rPr>
                <w:color w:val="000000"/>
              </w:rPr>
            </w:pPr>
            <w:r>
              <w:rPr>
                <w:color w:val="000000"/>
              </w:rPr>
              <w:drawing>
                <wp:inline distT="0" distB="0" distL="0" distR="0">
                  <wp:extent cx="18097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0975" cy="152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Modest Perquisites. </w:t>
            </w:r>
            <w:r>
              <w:rPr>
                <w:rFonts w:ascii="Times New Roman;Times;serif" w:hAnsi="Times New Roman;Times;serif"/>
                <w:b w:val="false"/>
                <w:color w:val="000000"/>
                <w:sz w:val="20"/>
              </w:rPr>
              <w:t xml:space="preserve">NEOs receive only modest perquisites. </w:t>
            </w:r>
          </w:p>
        </w:tc>
      </w:tr>
      <w:tr>
        <w:trPr/>
        <w:tc>
          <w:tcPr>
            <w:tcW w:w="330" w:type="dxa"/>
            <w:tcBorders/>
            <w:vAlign w:val="center"/>
          </w:tcPr>
          <w:p>
            <w:pPr>
              <w:pStyle w:val="TableContents"/>
              <w:bidi w:val="0"/>
              <w:spacing w:before="0" w:after="283"/>
              <w:jc w:val="center"/>
              <w:rPr>
                <w:color w:val="000000"/>
              </w:rPr>
            </w:pPr>
            <w:r>
              <w:rPr>
                <w:color w:val="000000"/>
              </w:rPr>
              <w:drawing>
                <wp:inline distT="0" distB="0" distL="0" distR="0">
                  <wp:extent cx="18097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0975" cy="152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Policy. </w:t>
            </w:r>
            <w:r>
              <w:rPr>
                <w:rFonts w:ascii="Times New Roman;Times;serif" w:hAnsi="Times New Roman;Times;serif"/>
                <w:b w:val="false"/>
                <w:color w:val="000000"/>
                <w:sz w:val="20"/>
              </w:rPr>
              <w:t xml:space="preserve">The Board has adopted a clawback policy applicable to all incentive payments and performance-based equity awards granted to executive officers. </w:t>
            </w:r>
          </w:p>
        </w:tc>
      </w:tr>
      <w:tr>
        <w:trPr/>
        <w:tc>
          <w:tcPr>
            <w:tcW w:w="3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0"/>
              <w:jc w:val="left"/>
              <w:rPr>
                <w:color w:val="000000"/>
              </w:rPr>
            </w:pPr>
            <w:r>
              <w:rPr>
                <w:color w:val="000000"/>
              </w:rPr>
              <w:t> </w:t>
            </w:r>
          </w:p>
        </w:tc>
      </w:tr>
      <w:tr>
        <w:trPr/>
        <w:tc>
          <w:tcPr>
            <w:tcW w:w="330" w:type="dxa"/>
            <w:tcBorders/>
            <w:vAlign w:val="center"/>
          </w:tcPr>
          <w:p>
            <w:pPr>
              <w:pStyle w:val="TableContents"/>
              <w:bidi w:val="0"/>
              <w:spacing w:before="0" w:after="283"/>
              <w:jc w:val="center"/>
              <w:rPr>
                <w:color w:val="000000"/>
              </w:rPr>
            </w:pPr>
            <w:r>
              <w:rPr>
                <w:color w:val="000000"/>
              </w:rPr>
              <w:drawing>
                <wp:inline distT="0" distB="0" distL="0" distR="0">
                  <wp:extent cx="18097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0975" cy="152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Peer Group Analysis. </w:t>
            </w:r>
            <w:r>
              <w:rPr>
                <w:rFonts w:ascii="Times New Roman;Times;serif" w:hAnsi="Times New Roman;Times;serif"/>
                <w:b w:val="false"/>
                <w:color w:val="000000"/>
                <w:sz w:val="20"/>
              </w:rPr>
              <w:t xml:space="preserve">The Company reviews total direct compensation (base salary, annual cash incentive and long-term incentive payments) and the mix of the compensation components for the named executive officers relative to the peer group as one of the factors in determining if compensation is adequate to attract and retain executive officers. </w:t>
            </w:r>
          </w:p>
        </w:tc>
      </w:tr>
      <w:tr>
        <w:trPr/>
        <w:tc>
          <w:tcPr>
            <w:tcW w:w="3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0"/>
              <w:jc w:val="left"/>
              <w:rPr>
                <w:color w:val="000000"/>
              </w:rPr>
            </w:pPr>
            <w:r>
              <w:rPr>
                <w:color w:val="000000"/>
              </w:rPr>
              <w:t> </w:t>
            </w:r>
          </w:p>
        </w:tc>
      </w:tr>
      <w:tr>
        <w:trPr/>
        <w:tc>
          <w:tcPr>
            <w:tcW w:w="330" w:type="dxa"/>
            <w:tcBorders/>
            <w:vAlign w:val="center"/>
          </w:tcPr>
          <w:p>
            <w:pPr>
              <w:pStyle w:val="TableContents"/>
              <w:bidi w:val="0"/>
              <w:spacing w:before="0" w:after="283"/>
              <w:jc w:val="center"/>
              <w:rPr>
                <w:color w:val="000000"/>
              </w:rPr>
            </w:pPr>
            <w:r>
              <w:rPr>
                <w:color w:val="000000"/>
              </w:rPr>
              <w:drawing>
                <wp:inline distT="0" distB="0" distL="0" distR="0">
                  <wp:extent cx="18097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0975" cy="152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Hedging. </w:t>
            </w:r>
            <w:r>
              <w:rPr>
                <w:rFonts w:ascii="Times New Roman;Times;serif" w:hAnsi="Times New Roman;Times;serif"/>
                <w:b w:val="false"/>
                <w:color w:val="000000"/>
                <w:sz w:val="20"/>
              </w:rPr>
              <w:t xml:space="preserve">The Company has adopted a policy prohibiting hedging and pledging of Company shares by directors and executive officers. </w:t>
            </w:r>
          </w:p>
        </w:tc>
      </w:tr>
      <w:tr>
        <w:trPr/>
        <w:tc>
          <w:tcPr>
            <w:tcW w:w="3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0"/>
              <w:jc w:val="left"/>
              <w:rPr>
                <w:color w:val="000000"/>
              </w:rPr>
            </w:pPr>
            <w:r>
              <w:rPr>
                <w:color w:val="000000"/>
              </w:rPr>
              <w:t> </w:t>
            </w:r>
          </w:p>
        </w:tc>
      </w:tr>
      <w:tr>
        <w:trPr/>
        <w:tc>
          <w:tcPr>
            <w:tcW w:w="330" w:type="dxa"/>
            <w:tcBorders/>
            <w:vAlign w:val="center"/>
          </w:tcPr>
          <w:p>
            <w:pPr>
              <w:pStyle w:val="TableContents"/>
              <w:bidi w:val="0"/>
              <w:spacing w:before="0" w:after="283"/>
              <w:jc w:val="center"/>
              <w:rPr>
                <w:color w:val="000000"/>
              </w:rPr>
            </w:pPr>
            <w:r>
              <w:rPr>
                <w:color w:val="000000"/>
              </w:rPr>
              <w:drawing>
                <wp:inline distT="0" distB="0" distL="0" distR="0">
                  <wp:extent cx="18097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975" cy="152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Excise Tax Gross-Ups. </w:t>
            </w:r>
            <w:r>
              <w:rPr>
                <w:rFonts w:ascii="Times New Roman;Times;serif" w:hAnsi="Times New Roman;Times;serif"/>
                <w:b w:val="false"/>
                <w:color w:val="000000"/>
                <w:sz w:val="20"/>
              </w:rPr>
              <w:t>Our named executive officers are not entitled to any such gross-up.</w:t>
            </w:r>
          </w:p>
        </w:tc>
      </w:tr>
      <w:tr>
        <w:trPr/>
        <w:tc>
          <w:tcPr>
            <w:tcW w:w="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2" w:name="ny20067252x1_def14a_111-cda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Process for Setting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and Compensation Committee review compensation practices and philosophy annually for all employees, including our executives. In setting executive base salaries and bonuses and granting equity incentive awards, they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our desire to incentivize a long-term commitment to our Company.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based on independent third-party benchmark analytics to inform the mix of compensation of base salary, bonus and long-term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responsible for approving all executive compensation matters. Our Compensation Committee typically reviews and discusses management’s proposed compensation with the CEO for all executives other than the CEO. Based on those discussions and its discretion, taking into account the factors noted above, the Compensation Committee then determines the compensation for each executive officer. In 2025, the Compensation Committee retained the services of Deloitte as its external compensation consultant, and the Compensation Committee considered Deloitte’s input on certain compensation matters as it deemed appropriate. Pursuant to the factors set forth in Item 407 of Regulation S-K of the Exchange Act, the Compensation Committee has reviewed the independence of Deloitte and conducted a conflicts of interest assessment (taking into consideration factors specified in the Nasdaq listing standards) and has concluded that Deloitte is independent and its work for the Compensation Committee has not raised any conflicts of interest. The Company also engaged Deloitte or its affiliates during fiscal year 2025 to provide services unrelated to executive compensation. These engagements, which were approved by management and of which the Compensation Committee was aware, primarily consisted of accounting-related services. Fees invoiced by Deloitte and its affiliates for services related to executive compensation totaled approximately $43,000 and for additional services totaled approximately $2.9 million during fiscal year 2025.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a Peer Group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Market data is one element considered by the Compensation Committee when making executive compensation decisions, but the Compensation Committee does not set compensation levels based solely on market data. Rather, the Compensation Committee reviews the 25th, 50th and 75th percentiles of relevant market data as one frame of reference in making its executive compensation decisions. Final executive compensation decisions reflect a variety of factors, including each executive’s experience, performance rating, the relative importance of the executive’s role within the organization, as well as where each executive’s pay level falls relative to the market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evaluate the level of compensation for our named executive officers for 2025, our Compensation Committee, using information provided by Deloitte, established a peer group of publicly traded companies in the biopharmaceutical and biotechnology industries based on a balance of the following criteria: </w:t>
      </w:r>
    </w:p>
    <w:tbl>
      <w:tblPr>
        <w:tblW w:w="8365" w:type="dxa"/>
        <w:jc w:val="left"/>
        <w:tblInd w:w="0" w:type="dxa"/>
        <w:tblLayout w:type="fixed"/>
        <w:tblCellMar>
          <w:top w:w="0" w:type="dxa"/>
          <w:left w:w="0" w:type="dxa"/>
          <w:bottom w:w="0" w:type="dxa"/>
          <w:right w:w="0" w:type="dxa"/>
        </w:tblCellMar>
      </w:tblPr>
      <w:tblGrid>
        <w:gridCol w:w="140"/>
        <w:gridCol w:w="8225"/>
      </w:tblGrid>
      <w:tr>
        <w:trPr/>
        <w:tc>
          <w:tcPr>
            <w:tcW w:w="14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with comparable market capitalizations (i.e., in the range of $1 billion to $7 billion); and </w:t>
            </w:r>
          </w:p>
        </w:tc>
      </w:tr>
    </w:tbl>
    <w:tbl>
      <w:tblPr>
        <w:tblW w:w="5020" w:type="dxa"/>
        <w:jc w:val="left"/>
        <w:tblInd w:w="0" w:type="dxa"/>
        <w:tblLayout w:type="fixed"/>
        <w:tblCellMar>
          <w:top w:w="0" w:type="dxa"/>
          <w:left w:w="0" w:type="dxa"/>
          <w:bottom w:w="0" w:type="dxa"/>
          <w:right w:w="0" w:type="dxa"/>
        </w:tblCellMar>
      </w:tblPr>
      <w:tblGrid>
        <w:gridCol w:w="140"/>
        <w:gridCol w:w="4880"/>
      </w:tblGrid>
      <w:tr>
        <w:trPr/>
        <w:tc>
          <w:tcPr>
            <w:tcW w:w="14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with headcounts between 30 to 704 employees.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2025 peer group is comprised of the following companies in the biopharmaceutical and biotechnology industries: </w:t>
      </w:r>
    </w:p>
    <w:tbl>
      <w:tblPr>
        <w:tblW w:w="4805" w:type="dxa"/>
        <w:jc w:val="left"/>
        <w:tblInd w:w="0" w:type="dxa"/>
        <w:tblLayout w:type="fixed"/>
        <w:tblCellMar>
          <w:top w:w="0" w:type="dxa"/>
          <w:left w:w="0" w:type="dxa"/>
          <w:bottom w:w="0" w:type="dxa"/>
          <w:right w:w="0" w:type="dxa"/>
        </w:tblCellMar>
      </w:tblPr>
      <w:tblGrid>
        <w:gridCol w:w="2120"/>
        <w:gridCol w:w="170"/>
        <w:gridCol w:w="170"/>
        <w:gridCol w:w="2345"/>
      </w:tblGrid>
      <w:tr>
        <w:trPr/>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Immunovant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Bicycle Therapeutics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Apellis Pharmaceuticals*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Crinetics Pharmaceuticals*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Apogee Therapeutics*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Vera Therapeutics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Verona Pharma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Pharvaris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Summit Therapeutics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Celldex Therapeutics*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Protagonist Therapeutics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Akero Therapeutics*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Spyre Therapeutics*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Kiniksa Pharmaceuticals*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Arcus Biosciences*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color w:val="000000"/>
              </w:rPr>
            </w:pPr>
            <w:r>
              <w:rPr>
                <w:color w:val="000000"/>
              </w:rPr>
              <w:t> </w:t>
            </w:r>
          </w:p>
        </w:tc>
      </w:tr>
      <w:tr>
        <w:trPr/>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3" w:name="ny20067252x1_def14a_111-cda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Due to M&amp;A activity and other companies moving outside of a comparable market capitalization range, we added the eight companies marked with an asterisk in the table above and removed four companies (Acelyrin, Inc., Dice Therapeutics, Inc., Rapt Therapeutics, Inc., and Aclaris Therapeutics, Inc.) from our prior year’s peer group.</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Key Elements of Compensation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named executive officer’s base salary is a fixed component of annual compensation for performing specific duties and functions, and has been established by our Compensation Committee taking into account each individual’s role, responsibilities, skills and experience. Base salaries for our named executive officers are reviewed annually by our Compensation Committee and adjusted from time to time to realign salaries with market levels after taking into account individual responsibilities, performance and experiences. The table below sets forth the base salaries of our NEOs as of December 31, 2025, which are the same as the base salaries in 2024. Amounts were converted to U.S. Dollars (“USD”) from Swiss Francs (“CHF”) using the exchange rate applicable as of December 31, 2025 (1.266 USD to 1 CHF). </w:t>
      </w:r>
    </w:p>
    <w:tbl>
      <w:tblPr>
        <w:tblW w:w="3815" w:type="dxa"/>
        <w:jc w:val="left"/>
        <w:tblInd w:w="0" w:type="dxa"/>
        <w:tblLayout w:type="fixed"/>
        <w:tblCellMar>
          <w:top w:w="0" w:type="dxa"/>
          <w:left w:w="0" w:type="dxa"/>
          <w:bottom w:w="0" w:type="dxa"/>
          <w:right w:w="0" w:type="dxa"/>
        </w:tblCellMar>
      </w:tblPr>
      <w:tblGrid>
        <w:gridCol w:w="2075"/>
        <w:gridCol w:w="170"/>
        <w:gridCol w:w="170"/>
        <w:gridCol w:w="1400"/>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Base Salary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$797,848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$631,630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$797,848</w:t>
            </w:r>
          </w:p>
        </w:tc>
      </w:tr>
      <w:tr>
        <w:trPr/>
        <w:tc>
          <w:tcPr>
            <w:tcW w:w="2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Bonus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may approve annual bonuses for our named executive officers based on a review of Company performance and each named executive officer’s achievement of goals and objectives for the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executive officers are assigned annual bonus targets, expressed as a percent of base salary, based on each executive officer’s accountability, scope of responsibilities, and potential impact on performance, as well as peer group competitive data for similarly situated positions. The table below sets forth the target bonus for each NEO, which are the same as the target bonus opportunities in 2024: </w:t>
      </w:r>
    </w:p>
    <w:tbl>
      <w:tblPr>
        <w:tblW w:w="3935" w:type="dxa"/>
        <w:jc w:val="left"/>
        <w:tblInd w:w="0" w:type="dxa"/>
        <w:tblLayout w:type="fixed"/>
        <w:tblCellMar>
          <w:top w:w="0" w:type="dxa"/>
          <w:left w:w="0" w:type="dxa"/>
          <w:bottom w:w="0" w:type="dxa"/>
          <w:right w:w="0" w:type="dxa"/>
        </w:tblCellMar>
      </w:tblPr>
      <w:tblGrid>
        <w:gridCol w:w="2075"/>
        <w:gridCol w:w="170"/>
        <w:gridCol w:w="170"/>
        <w:gridCol w:w="1520"/>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Target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Base Salary)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4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4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42"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r>
      <w:tr>
        <w:trPr/>
        <w:tc>
          <w:tcPr>
            <w:tcW w:w="2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is eligible to receive a bonus based on the achievement of reasonable financial and business objectives approved by, in the case of Dr. Santos da Silva, the Board (with input from the Compensation Committee) or, in the case of Mr. Bodenstedt and Dr. Reich, the Compensation Committee (with input from Dr. Santos da Silva). The performance objectives for the named executive officers for fiscal year 2025 were (i) building the Company and its profile with key stakeholders, (ii) delivering the SLK development programs across indications, (iii) securing financial stability, and (iv) building the foundations for pre-market activities for a successful launch of SLK in 2027. Each of Drs. Santos da Silva and Reich and Mr. Bodenstedt voluntarily agreed to waive any cash bonus payouts for 2025 notwithstanding that corporate performance goals were deemed achieved. As a result, the Compensation Committee approved the payout of $0 for each named executive officer.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Long-Term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February 2025, each of the named executive officers received an equity award in the form of either restricted stock awards or stock options, depending on the employee’s election with a grant date fair value targeted at $4 million (95,763 shares of restricted stock in the case of Dr. Santos da Silva and Mr. Bodenstedt and 139,273 stock options with an exercise price of $41.77 in the case of Dr. Reich). Similarly, in January 2026, each of the named executive officers received an equity award in the form of either restricted stock awards or stock options, depending on the employee’s election with a grant date fair value targeted at $4 million (354,296 shares of restricted stock in the case of Mr. Bodenstedt and 520,342 stock options with an exercise price of $11.29 in the case of Drs. Santos da Silva and Reich). The equity awards vest over a four-year period in equal annual installments on each anniversary of the grant date, subject, in each case, to continued service through each such vesting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4" w:name="ny20067252x1_def14a_111-cda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Elements of Compensation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Benefits and Perquisites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named executive officer is eligible to receive retirement, survivors and disability insurance, as well as accident insurance, according to Swiss law requirements. In addition, MoonLake AG has taken out daily sickness benefits insurance, and is contributing 50% of the premiums with the other 50% contributed by the employees, for Dr. Santos da Silva and Mr. Bodenstedt, providing salary continuation payments in the amount of 80% of the insured salary, which is capped at CHF 300,000, after a 30 day waiting period for a maximum of 730 days. Due to being subject to social security outside of Switzerland, Dr. Reich is not eligible for the selected insurance plan. In addition, the officers are eligible for reimbursement for justified expenses incurred in the course of their work for MoonLake AG due to travel and other expenses. The named executive officers also received housing allowances during fiscal year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MoonLake AG operates a defined benefit pension plan (the “MoonLake AG Swiss Plan”) in accordance with local Swiss regulations and practices. It covers all of MoonLake AG’s employees that are subject to Swiss social security, including the named executive officers (other than Dr. Reich) and provides benefits in the event of death, disability, or retirement. MoonLake AG makes contributions to a retirement arrangement governed by German law on behalf of Dr. Reich. Dr. Reich’s retirement arrangement program is a defined contribution type structure whereby MoonLake AG makes contributions to a German government regulated pension plan.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and Severance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MoonLake AG entered into employment agreements with each of Drs. Santos da Silva and Reich on April 30, 2021, as subsequently amended on September 21, 2021 for Dr. Santos da Silva and on November 8, 2021 for Dr. Reich, and with Mr. Bodenstedt on May 10, 2021, as subsequently amended on June 22, 2021 (the “Executive Employment Agreements”, and each an “Executive Employment Agreement”). The Executive Employment Agreements are based on the same general form, and the material terms of the agreement are summarized below. The Executive Employment Agreements are governed by Swiss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Executive Employment Agreements with each of Dr. Santos da Silva and Mr. Bodenstedt commenced on July 1, 2021. The term of the Executive Employment Agreement with Dr. Reich commenced on May 17, 2021. The initial terms of these agreements ran through May 1, 2023, except for Mr. Bodenstedt’s agreement, which provides for an indefinite term. Under the agreements with Drs. Santos da Silva and Reich, either the executive or MoonLake AG could have terminated the Executive Employment Agreement at the end of such initial term by providing six months’ notice. Since no such notice was provided under such agreements, the terms of the Executive Employment Agreements were extended for an indefinite period, and employment will be terminable by either party by providing six months’ notice. The Executive Employment Agreement with Mr. Bodenstedt provides for termination of his employment by either party by providing six months’ notice beginning on August 31, 2022.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Executive Employment Agreements provided for initial levels of annual base salary and target bonus opportunity, which were subsequently increased. The Executive Employment Agreements also contain provisions relating to certain payments upon a termination of employment as described in further detail under the section titled “Potential Payments Upon Termination or Change of Control”. It is the Compensation Committee’s belief that the Executive Employment Agreements are necessary from a competitive perspective and contribute to the stability of the management team.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Policies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Clawback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an Incentive Compensation Clawback Policy, which is intended to comply with the requirements of Nasdaq Listing Standard 5608 implementing Rule 10D-1 under the Exchange Act.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during the prior three fiscal years that exceeds the amount that the executive otherwise would have received had the incentive-based compensation been determined based on the restated financial statements.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Insider Trading Policies and Prohibitions on Hedging and Pledging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insider trading policies and procedures governing the purchase, sale and other transactions in Company securities by the Company’s directors, officers, employees, consultants and contractors, as well as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5" w:name="ny20067252x1_def14a_111-cda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itself, that we believe are reasonably designed to promote compliance with insider trading laws, rules and regulations and Nasdaq listing standards. Our directors and executive officers also are prohibited from engaging in pledging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directors, officers, employees, consultants and contractors from engaging in (a) short-term trading; (b) short sales; (c) transactions involving publicly traded options or other derivatives, such as trading in puts or calls with respect to Company securities; and (d) hedging transactions.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Practices on Timing of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aim to grant annual equity awards on the first day of the calendar year or as soon as practical thereafter. Notwithstanding the foregoing, in 2025, equity awards to our executive officers were not granted until February 27 due to certain administrative procedures that had to be completed to operationalize the new annual award scheme. We do not have any program, plan or practice to time award dates of stock option grants to our executive officers in coordination with the release of material nonpublic information. Equity awards may occasionally be granted following a significant change in job responsibilities or to meet special retention or performance objectives. During 2025, the Compensation Committee did not time the disclosure of material nonpublic information for the purpose of affecting the value of executive compensation. During 2025, a named executive officer was awarded stock options with an effective grant date during the period beginning four business days before the filing or furnishing of a Form 10-Q, Form 10-K or Form 8-K, and ending one business day after the filing or furnishing of such reports, as summarized in the table below: </w:t>
      </w:r>
    </w:p>
    <w:tbl>
      <w:tblPr>
        <w:tblW w:w="10055" w:type="dxa"/>
        <w:jc w:val="left"/>
        <w:tblInd w:w="0" w:type="dxa"/>
        <w:tblLayout w:type="fixed"/>
        <w:tblCellMar>
          <w:top w:w="0" w:type="dxa"/>
          <w:left w:w="0" w:type="dxa"/>
          <w:bottom w:w="0" w:type="dxa"/>
          <w:right w:w="0" w:type="dxa"/>
        </w:tblCellMar>
      </w:tblPr>
      <w:tblGrid>
        <w:gridCol w:w="1520"/>
        <w:gridCol w:w="170"/>
        <w:gridCol w:w="170"/>
        <w:gridCol w:w="1535"/>
        <w:gridCol w:w="170"/>
        <w:gridCol w:w="170"/>
        <w:gridCol w:w="905"/>
        <w:gridCol w:w="170"/>
        <w:gridCol w:w="170"/>
        <w:gridCol w:w="695"/>
        <w:gridCol w:w="170"/>
        <w:gridCol w:w="170"/>
        <w:gridCol w:w="1295"/>
        <w:gridCol w:w="170"/>
        <w:gridCol w:w="170"/>
        <w:gridCol w:w="240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15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Change in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Closing Market Price of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the Award Between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Trading Day 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Immediately Prior to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Disclosure of Material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Information and the Trading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Beginning Immediately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Following the Disclosure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Material Nonpublic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Information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27,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139,273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$41.77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$4,000,021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05" w:type="dxa"/>
            <w:tcBorders/>
            <w:shd w:fill="CCEEFF" w:val="clear"/>
            <w:vAlign w:val="center"/>
          </w:tcPr>
          <w:p>
            <w:pPr>
              <w:pStyle w:val="TableContents"/>
              <w:bidi w:val="0"/>
              <w:spacing w:before="0" w:after="283"/>
              <w:ind w:left="892"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r>
      <w:tr>
        <w:trPr/>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05" w:type="dxa"/>
            <w:tcBorders/>
            <w:shd w:fill="CCEEFF"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Risk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fiscal year 2025, the Company conducted its annual review of executive and non-executive compensation programs, with particular emphasis on incentive compensation plans and programs. Based on this review, the Company evaluated the primary components of its compensation plans and practices to identify whether those components, either alone or in combination, properly balanced compensation opportunities and risk. Furthermore, the Compensation Committee retains its own independent compensation consultant to provide input on executive pay matters, meets regularly, and approves all performance goals, award vehicles, and pay opportunity levels for named executive officers. As a result of this evaluation, the Company concluded that risks arising from the Company’s compensation policies and practices are not reasonably likely to have a material adverse impact on the Company. </w:t>
      </w:r>
    </w:p>
    <w:p>
      <w:pPr>
        <w:pStyle w:val="TextBody"/>
        <w:bidi w:val="0"/>
        <w:spacing w:before="400" w:after="283"/>
        <w:ind w:left="0" w:right="0" w:hanging="0"/>
        <w:jc w:val="left"/>
        <w:rPr>
          <w:rFonts w:ascii="Times New Roman;Times;serif" w:hAnsi="Times New Roman;Times;serif"/>
          <w:b/>
          <w:color w:val="000000"/>
          <w:sz w:val="20"/>
        </w:rPr>
      </w:pPr>
      <w:bookmarkStart w:id="46" w:name="tRC"/>
      <w:bookmarkEnd w:id="46"/>
      <w:r>
        <w:rPr>
          <w:rFonts w:ascii="Times New Roman;Times;serif" w:hAnsi="Times New Roman;Times;serif"/>
          <w:b/>
          <w:color w:val="000000"/>
          <w:sz w:val="20"/>
        </w:rPr>
        <w:t xml:space="preserve">Report of the 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with management the Compensation Discussion and Analysis required by Item 402(b) of Regulation S-K. Based on this review and discussion, the Compensation Committee recommended to the Board of Directors that the foregoing Compensation Discussion and Analysis be included in this Proxy Statement and incorporated by reference in our Annual Report on Form 10-K for the year ended December 31, 2025.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report is provided by the following directors, who serve on the Compensation Committee: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Andrew Phillips (Chair)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Catherine Moukheibir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Spike Loy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7" w:name="ny20067252x1_def14a_112-sumcomp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8" w:name="tSC"/>
      <w:bookmarkEnd w:id="48"/>
      <w:r>
        <w:rPr>
          <w:rFonts w:ascii="Times New Roman;Times;serif" w:hAnsi="Times New Roman;Times;serif"/>
          <w:b/>
          <w:color w:val="000000"/>
          <w:sz w:val="20"/>
        </w:rPr>
        <w:t xml:space="preserve">2025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compensation awarded to, earned by or paid to our NEOs for 2025, 2024 and 2023. </w:t>
      </w:r>
    </w:p>
    <w:tbl>
      <w:tblPr>
        <w:tblW w:w="10475" w:type="dxa"/>
        <w:jc w:val="left"/>
        <w:tblInd w:w="0" w:type="dxa"/>
        <w:tblLayout w:type="fixed"/>
        <w:tblCellMar>
          <w:top w:w="0" w:type="dxa"/>
          <w:left w:w="0" w:type="dxa"/>
          <w:bottom w:w="0" w:type="dxa"/>
          <w:right w:w="0" w:type="dxa"/>
        </w:tblCellMar>
      </w:tblPr>
      <w:tblGrid>
        <w:gridCol w:w="995"/>
        <w:gridCol w:w="170"/>
        <w:gridCol w:w="170"/>
        <w:gridCol w:w="470"/>
        <w:gridCol w:w="170"/>
        <w:gridCol w:w="170"/>
        <w:gridCol w:w="725"/>
        <w:gridCol w:w="170"/>
        <w:gridCol w:w="170"/>
        <w:gridCol w:w="725"/>
        <w:gridCol w:w="170"/>
        <w:gridCol w:w="170"/>
        <w:gridCol w:w="875"/>
        <w:gridCol w:w="170"/>
        <w:gridCol w:w="170"/>
        <w:gridCol w:w="875"/>
        <w:gridCol w:w="170"/>
        <w:gridCol w:w="170"/>
        <w:gridCol w:w="1085"/>
        <w:gridCol w:w="170"/>
        <w:gridCol w:w="170"/>
        <w:gridCol w:w="1085"/>
        <w:gridCol w:w="170"/>
        <w:gridCol w:w="170"/>
        <w:gridCol w:w="920"/>
      </w:tblGrid>
      <w:tr>
        <w:trPr/>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9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Pension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Nonqualified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99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Jorge Santos da Silva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i/>
                <w:color w:val="000000"/>
                <w:sz w:val="20"/>
              </w:rPr>
              <w:t>Chief Executive Officer and Interim Chair of the Board</w:t>
            </w:r>
            <w:r>
              <w:rPr>
                <w:rFonts w:ascii="Times New Roman;Times;serif" w:hAnsi="Times New Roman;Times;serif"/>
                <w:color w:val="000000"/>
                <w:sz w:val="20"/>
              </w:rPr>
              <w:t xml:space="preserve">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762,386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155,880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24,922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4,943,209 </w:t>
            </w:r>
          </w:p>
        </w:tc>
      </w:tr>
      <w:tr>
        <w:trPr/>
        <w:tc>
          <w:tcPr>
            <w:tcW w:w="9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698,245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574,254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109,913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23,626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1,406,038 </w:t>
            </w:r>
          </w:p>
        </w:tc>
      </w:tr>
      <w:tr>
        <w:trPr/>
        <w:tc>
          <w:tcPr>
            <w:tcW w:w="9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586,333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589,819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22,063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1,198,215 </w:t>
            </w:r>
          </w:p>
        </w:tc>
      </w:tr>
      <w:tr>
        <w:trPr/>
        <w:tc>
          <w:tcPr>
            <w:tcW w:w="99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603,555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66,023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22,977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4,692,576 </w:t>
            </w:r>
          </w:p>
        </w:tc>
      </w:tr>
      <w:tr>
        <w:trPr/>
        <w:tc>
          <w:tcPr>
            <w:tcW w:w="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552,777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413,289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44,687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21,802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1,032,555 </w:t>
            </w:r>
          </w:p>
        </w:tc>
      </w:tr>
      <w:tr>
        <w:trPr/>
        <w:tc>
          <w:tcPr>
            <w:tcW w:w="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20,269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891,597 </w:t>
            </w:r>
          </w:p>
        </w:tc>
      </w:tr>
      <w:tr>
        <w:trPr/>
        <w:tc>
          <w:tcPr>
            <w:tcW w:w="99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762,386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33,086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4,795,493 </w:t>
            </w:r>
          </w:p>
        </w:tc>
      </w:tr>
      <w:tr>
        <w:trPr/>
        <w:tc>
          <w:tcPr>
            <w:tcW w:w="9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698,245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574,254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30,440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1,302,939 </w:t>
            </w:r>
          </w:p>
        </w:tc>
      </w:tr>
      <w:tr>
        <w:trPr/>
        <w:tc>
          <w:tcPr>
            <w:tcW w:w="9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586,333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589,819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54,752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1,230,904</w:t>
            </w:r>
          </w:p>
        </w:tc>
      </w:tr>
      <w:tr>
        <w:trPr/>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all amounts earned as salary during the applicable fiscal year. For fiscal year 2025, the salary amounts have been converted to USD from CHF using the exchange rate applicable on the last day of each calendar month (January 31, 2025: 1.099 USD to 1 CHF; February 28, 2025: 1.109 USD to 1 CHF; March 31, 2025: 1.135 USD to 1 CHF; April 30, 2025: 1.213 USD to 1 CHF; May 31, 2025: 1.215 USD to 1 CHF; June 30, 2025: 1.254 USD to 1 CHF; July 31, 2025: 1.241 USD to 1 CHF; August 31, 2025: 1.247 USD to 1 CHF; September 30, 2025: 1.255 USD to 1 CHF; October 31, 2025: 1.246 USD to 1 CHF; November 30, 2025: 1.242 USD to 1 CHF; December 31, 2025: 1.266 USD to 1 CHF). For fiscal year 2024, the salary amounts have been converted to USD from CHF using the exchange rate applicable on the last day of each calendar month (January 31, 2024: 1.160 USD to 1 CHF; February 29, 2024: 1.136 USD to 1 CHF; March 31, 2024: 1.112 USD to 1 CHF; April 30, 2024: 1.095 USD to 1 CHF; May 31, 2024: 1.105 USD to 1 CHF; June 30, 2024: 1.114 USD to 1 CHF; July 31, 2024: 1.132 USD to 1 CHF; August 31, 2024: 1.186 USD to 1 CHF; September 30, 2024: 1.186 USD to 1 CHF; October 31, 2024: 1.152 USD to 1 CHF; November 30, 2024: 1.135 USD to 1 CHF; December 31, 2024: 1.105 USD to 1 CHF). For fiscal year 2023, the salary amounts have been converted to USD from CHF using the exchange rate applicable on the last day of each calendar month (January 31, 2023: 1.085 USD to 1 CHF; February 28, 2023: 1.067 USD to 1 CHF; March 31, 2023: 1.088 USD to 1 CHF; April 30, 2023: 1.117 USD to 1 CHF; May 31, 2023: 1.104 USD to 1 CHF; June 30, 2023: 1.111 USD to 1 CHF; July 31, 2023: 1.149 USD to 1 CHF; August 31, 2023: 1.135 USD to 1 CHF; September 30, 2023: 1.096 USD to 1 CHF; October 31, 2023: 1.106 USD to 1 CHF; November 30, 2023: 1.143 USD to 1 CHF; December 31, 2023: 1.192 USD to 1 CHF).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amounts earned based on the achievement of performance goals determined in accordance with each officer’s employment agreement. For fiscal year 2024, the bonus amounts have been converted to USD from CHF using the exchange rate of 1.105 USD to 1 CHF as of December 31, 2024. For fiscal year 2023, the bonus amounts have been converted to USD from CHF using the exchange rate of 1.192 USD to 1 CHF as of December 31, 2023.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2024 and 2023, no new equity awards were granted to the named executive officers. In 2025, Dr. Santos da Silva and Mr. Bodenstedt were granted time-based restricted shares and Dr. Reich was granted time-based stock options. Amounts reported reflect the grant date fair values as calculated in accordance with FASB ASC Topic 718. For stock awards, the grant date fair value is calculated by multiplying the number of shares granted by the closing share price on the date of grant. For option awards, the grant date fair value is calculated using the Black-Scholes option valuation model. For a discussion of the assumptions made in the valuation of options granted in 2025, see Note 14 — “Share-based Compensation” of our audited consolidated financial statements as of and for the period ended December 31, 2025 in our Annual Report on Form 10-K for further information.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aggregate change in the actuarial present value of the named executive officers’ accumulated benefits under all defined benefit and actuarial pension plans in fiscal 2025. For fiscal year 2025, the amounts in this column have been converted to USD from CHF using the exchange rate of 1.266 USD to 1 CHF as of December 31, 2025. For fiscal year 2024, the amounts in this column have been converted to USD from CHF using the exchange rate of 1.105 USD to 1 CHF as of December 31, 2024. The Company qualified as a “smaller reporting company” for the year ending December 31, 2023 and was not required to disclose amounts in this column for that period.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for all of the named executive officers for 2025 include amounts paid as a housing allowance ($23,924 for Dr. Santos da Silva, $21,979 for Mr. Bodenstedt and $27,120 for Dr. Reich) and, for Dr. Santos da Silva and Mr. Bodenstedt, $998 in Company contributions to voluntary sick leave insurance premiums. For Dr. Reich, the amount reported for 2025 further includes $5,966 in Company contributions to a German government regulated pension plan. For fiscal years 2025, 2024 and 2023, these amounts have been converted to USD from CHF using the exchange rate applicable on the last day of each calendar month as described in footnote (1)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9" w:name="ny20067252x1_def14a_112-sumcomp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0" w:name="tGP"/>
      <w:bookmarkEnd w:id="50"/>
      <w:r>
        <w:rPr>
          <w:rFonts w:ascii="Times New Roman;Times;serif" w:hAnsi="Times New Roman;Times;serif"/>
          <w:b/>
          <w:color w:val="000000"/>
          <w:sz w:val="20"/>
        </w:rPr>
        <w:t xml:space="preserve">2025 Grants of Plan-Based Awards Table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grants of plan-based awards made to our NEOs during 2025. </w:t>
      </w:r>
    </w:p>
    <w:tbl>
      <w:tblPr>
        <w:tblW w:w="8045" w:type="dxa"/>
        <w:jc w:val="left"/>
        <w:tblInd w:w="0" w:type="dxa"/>
        <w:tblLayout w:type="fixed"/>
        <w:tblCellMar>
          <w:top w:w="0" w:type="dxa"/>
          <w:left w:w="0" w:type="dxa"/>
          <w:bottom w:w="0" w:type="dxa"/>
          <w:right w:w="0" w:type="dxa"/>
        </w:tblCellMar>
      </w:tblPr>
      <w:tblGrid>
        <w:gridCol w:w="2075"/>
        <w:gridCol w:w="170"/>
        <w:gridCol w:w="170"/>
        <w:gridCol w:w="905"/>
        <w:gridCol w:w="170"/>
        <w:gridCol w:w="170"/>
        <w:gridCol w:w="785"/>
        <w:gridCol w:w="170"/>
        <w:gridCol w:w="170"/>
        <w:gridCol w:w="905"/>
        <w:gridCol w:w="170"/>
        <w:gridCol w:w="170"/>
        <w:gridCol w:w="695"/>
        <w:gridCol w:w="170"/>
        <w:gridCol w:w="170"/>
        <w:gridCol w:w="980"/>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95,763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4,000,021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95,763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4,000,021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139,273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41.77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4,000,021</w:t>
            </w:r>
          </w:p>
        </w:tc>
      </w:tr>
      <w:tr>
        <w:trPr/>
        <w:tc>
          <w:tcPr>
            <w:tcW w:w="2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51" w:name="tOE"/>
      <w:bookmarkEnd w:id="51"/>
      <w:r>
        <w:rPr>
          <w:rFonts w:ascii="Times New Roman;Times;serif" w:hAnsi="Times New Roman;Times;serif"/>
          <w:b/>
          <w:color w:val="000000"/>
          <w:sz w:val="20"/>
        </w:rPr>
        <w:t xml:space="preserve">Outstanding Equity Awards at 2025 Fiscal Year End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equity awards at the end of 2025 for each of our NEOs. </w:t>
      </w:r>
    </w:p>
    <w:tbl>
      <w:tblPr>
        <w:tblW w:w="10205" w:type="dxa"/>
        <w:jc w:val="left"/>
        <w:tblInd w:w="0" w:type="dxa"/>
        <w:tblLayout w:type="fixed"/>
        <w:tblCellMar>
          <w:top w:w="0" w:type="dxa"/>
          <w:left w:w="0" w:type="dxa"/>
          <w:bottom w:w="0" w:type="dxa"/>
          <w:right w:w="0" w:type="dxa"/>
        </w:tblCellMar>
      </w:tblPr>
      <w:tblGrid>
        <w:gridCol w:w="1582"/>
        <w:gridCol w:w="170"/>
        <w:gridCol w:w="170"/>
        <w:gridCol w:w="905"/>
        <w:gridCol w:w="170"/>
        <w:gridCol w:w="170"/>
        <w:gridCol w:w="944"/>
        <w:gridCol w:w="170"/>
        <w:gridCol w:w="170"/>
        <w:gridCol w:w="1079"/>
        <w:gridCol w:w="170"/>
        <w:gridCol w:w="170"/>
        <w:gridCol w:w="674"/>
        <w:gridCol w:w="170"/>
        <w:gridCol w:w="170"/>
        <w:gridCol w:w="927"/>
        <w:gridCol w:w="170"/>
        <w:gridCol w:w="170"/>
        <w:gridCol w:w="765"/>
        <w:gridCol w:w="170"/>
        <w:gridCol w:w="170"/>
        <w:gridCol w:w="949"/>
      </w:tblGrid>
      <w:tr>
        <w:trPr/>
        <w:tc>
          <w:tcPr>
            <w:tcW w:w="15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4"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4" w:type="dxa"/>
            <w:gridSpan w:val="4"/>
            <w:tcBorders/>
            <w:vAlign w:val="center"/>
          </w:tcPr>
          <w:p>
            <w:pPr>
              <w:pStyle w:val="TableContents"/>
              <w:bidi w:val="0"/>
              <w:spacing w:before="0" w:after="0"/>
              <w:jc w:val="left"/>
              <w:rPr/>
            </w:pPr>
            <w:r>
              <w:rPr/>
              <w:t> </w:t>
            </w:r>
          </w:p>
        </w:tc>
      </w:tr>
      <w:tr>
        <w:trPr/>
        <w:tc>
          <w:tcPr>
            <w:tcW w:w="15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8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58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01/18/2022</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3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4" w:type="dxa"/>
            <w:tcBorders/>
            <w:shd w:fill="CCEEFF" w:val="clear"/>
            <w:vAlign w:val="center"/>
          </w:tcPr>
          <w:p>
            <w:pPr>
              <w:pStyle w:val="TableContents"/>
              <w:bidi w:val="0"/>
              <w:spacing w:before="0" w:after="283"/>
              <w:ind w:left="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7,401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97,545 </w:t>
            </w:r>
          </w:p>
        </w:tc>
      </w:tr>
      <w:tr>
        <w:trPr/>
        <w:tc>
          <w:tcPr>
            <w:tcW w:w="158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02/27/2025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3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4" w:type="dxa"/>
            <w:tcBorders/>
            <w:shd w:fill="CCEEFF" w:val="clear"/>
            <w:vAlign w:val="center"/>
          </w:tcPr>
          <w:p>
            <w:pPr>
              <w:pStyle w:val="TableContents"/>
              <w:bidi w:val="0"/>
              <w:spacing w:before="0" w:after="283"/>
              <w:ind w:left="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95,763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1,262,156 </w:t>
            </w:r>
          </w:p>
        </w:tc>
      </w:tr>
      <w:tr>
        <w:trPr/>
        <w:tc>
          <w:tcPr>
            <w:tcW w:w="158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01/18/2022</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3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9"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11,101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146,311 </w:t>
            </w:r>
          </w:p>
        </w:tc>
      </w:tr>
      <w:tr>
        <w:trPr/>
        <w:tc>
          <w:tcPr>
            <w:tcW w:w="158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02/27/2025</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3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9"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95,763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1,262,156 </w:t>
            </w:r>
          </w:p>
        </w:tc>
      </w:tr>
      <w:tr>
        <w:trPr/>
        <w:tc>
          <w:tcPr>
            <w:tcW w:w="158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01/18/2022</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3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4" w:type="dxa"/>
            <w:tcBorders/>
            <w:shd w:fill="CCEEFF" w:val="clear"/>
            <w:vAlign w:val="center"/>
          </w:tcPr>
          <w:p>
            <w:pPr>
              <w:pStyle w:val="TableContents"/>
              <w:bidi w:val="0"/>
              <w:spacing w:before="0" w:after="283"/>
              <w:ind w:left="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7,401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97,545 </w:t>
            </w:r>
          </w:p>
        </w:tc>
      </w:tr>
      <w:tr>
        <w:trPr/>
        <w:tc>
          <w:tcPr>
            <w:tcW w:w="158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02/27/2025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3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139,273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4"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$41.77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02/27/2035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58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left"/>
              <w:rPr/>
            </w:pPr>
            <w:r>
              <w:rPr/>
              <w:t> </w:t>
            </w:r>
          </w:p>
        </w:tc>
      </w:tr>
    </w:tbl>
    <w:tbl>
      <w:tblPr>
        <w:tblW w:w="7405" w:type="dxa"/>
        <w:jc w:val="left"/>
        <w:tblInd w:w="0" w:type="dxa"/>
        <w:tblLayout w:type="fixed"/>
        <w:tblCellMar>
          <w:top w:w="0" w:type="dxa"/>
          <w:left w:w="0" w:type="dxa"/>
          <w:bottom w:w="0" w:type="dxa"/>
          <w:right w:w="0" w:type="dxa"/>
        </w:tblCellMar>
      </w:tblPr>
      <w:tblGrid>
        <w:gridCol w:w="260"/>
        <w:gridCol w:w="71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1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the closing price of $13.18 on December 31, 2025, which was the last trading day of 2025.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remaining unvested portion of 10,000, 15,000 and 10,000 shares of MoonLake AG, respectively, for Drs. Santos da Silva and Reich and Mr. Bodenstedt purchased under the Employee Share Participation Plan at a purchase price equal to the nominal value per share of CHF 0.10 that were subsequently converted into Class A Ordinary Shares of MoonLake Immunotherapeutics based on the exchange ratio of 1 share of MoonLake AG into 33.638698 MoonLake Immunotherapeutics Class A Ordinary Shares. Subject to the executive’s continued employment through each applicable vesting date, these shares vest in accordance with the following vesting schedule: (i) 25% of the shares vested on January 18, 2023 and (ii) 2.08% of the shares vest each month thereafter until fully vested. Until such shares fully vest, MoonLake AG may repurchase such shares at a repurchase price equal to such nominal value in the event the employment of the respective officer terminates.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an award of restricted stock or stock options, as applicable, that vest in four equal annual installments on February 27, 2026, 2027, 2028, and 2029, subject, in each case, to continued service through each applicable date. </w:t>
            </w:r>
          </w:p>
        </w:tc>
      </w:tr>
    </w:tbl>
    <w:p>
      <w:pPr>
        <w:pStyle w:val="TextBody"/>
        <w:bidi w:val="0"/>
        <w:spacing w:before="380" w:after="283"/>
        <w:ind w:left="0" w:right="0" w:hanging="0"/>
        <w:jc w:val="left"/>
        <w:rPr>
          <w:rFonts w:ascii="Times New Roman;Times;serif" w:hAnsi="Times New Roman;Times;serif"/>
          <w:b/>
          <w:color w:val="000000"/>
          <w:sz w:val="20"/>
        </w:rPr>
      </w:pPr>
      <w:bookmarkStart w:id="52" w:name="tOES"/>
      <w:bookmarkEnd w:id="52"/>
      <w:r>
        <w:rPr>
          <w:rFonts w:ascii="Times New Roman;Times;serif" w:hAnsi="Times New Roman;Times;serif"/>
          <w:b/>
          <w:color w:val="000000"/>
          <w:sz w:val="20"/>
        </w:rPr>
        <w:t xml:space="preserve">Option Exercises and Stock Vested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stock awards vested for our named executive officers during fiscal 2025. None of our named executive officers exercised any stock options during 2025. </w:t>
      </w:r>
    </w:p>
    <w:tbl>
      <w:tblPr>
        <w:tblW w:w="5765" w:type="dxa"/>
        <w:jc w:val="left"/>
        <w:tblInd w:w="0" w:type="dxa"/>
        <w:tblLayout w:type="fixed"/>
        <w:tblCellMar>
          <w:top w:w="0" w:type="dxa"/>
          <w:left w:w="0" w:type="dxa"/>
          <w:bottom w:w="0" w:type="dxa"/>
          <w:right w:w="0" w:type="dxa"/>
        </w:tblCellMar>
      </w:tblPr>
      <w:tblGrid>
        <w:gridCol w:w="2075"/>
        <w:gridCol w:w="170"/>
        <w:gridCol w:w="170"/>
        <w:gridCol w:w="1565"/>
        <w:gridCol w:w="170"/>
        <w:gridCol w:w="170"/>
        <w:gridCol w:w="1445"/>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83,962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3,075,325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125,943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4,612,988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83,962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3,075,325</w:t>
            </w:r>
          </w:p>
        </w:tc>
      </w:tr>
      <w:tr>
        <w:trPr/>
        <w:tc>
          <w:tcPr>
            <w:tcW w:w="2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3" w:name="ny20067252x1_def14a_112-sumcomp_pg3"/>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4" w:name="tFYP"/>
      <w:bookmarkEnd w:id="54"/>
      <w:r>
        <w:rPr>
          <w:rFonts w:ascii="Times New Roman;Times;serif" w:hAnsi="Times New Roman;Times;serif"/>
          <w:b/>
          <w:color w:val="000000"/>
          <w:sz w:val="20"/>
        </w:rPr>
        <w:t xml:space="preserve">Fiscal Year 2025 Pension Benefits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pension benefits of the named executive officers as of December 31, 2025. </w:t>
      </w:r>
    </w:p>
    <w:tbl>
      <w:tblPr>
        <w:tblW w:w="9110" w:type="dxa"/>
        <w:jc w:val="left"/>
        <w:tblInd w:w="0" w:type="dxa"/>
        <w:tblLayout w:type="fixed"/>
        <w:tblCellMar>
          <w:top w:w="0" w:type="dxa"/>
          <w:left w:w="0" w:type="dxa"/>
          <w:bottom w:w="0" w:type="dxa"/>
          <w:right w:w="0" w:type="dxa"/>
        </w:tblCellMar>
      </w:tblPr>
      <w:tblGrid>
        <w:gridCol w:w="2075"/>
        <w:gridCol w:w="170"/>
        <w:gridCol w:w="170"/>
        <w:gridCol w:w="2165"/>
        <w:gridCol w:w="170"/>
        <w:gridCol w:w="170"/>
        <w:gridCol w:w="1295"/>
        <w:gridCol w:w="170"/>
        <w:gridCol w:w="170"/>
        <w:gridCol w:w="1295"/>
        <w:gridCol w:w="170"/>
        <w:gridCol w:w="170"/>
        <w:gridCol w:w="920"/>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Credited Service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Present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MoonLake AG Swiss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44"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29" w:right="0" w:hanging="0"/>
              <w:jc w:val="left"/>
              <w:rPr>
                <w:rFonts w:ascii="Times New Roman;Times;serif" w:hAnsi="Times New Roman;Times;serif"/>
                <w:color w:val="000000"/>
                <w:sz w:val="20"/>
              </w:rPr>
            </w:pPr>
            <w:r>
              <w:rPr>
                <w:rFonts w:ascii="Times New Roman;Times;serif" w:hAnsi="Times New Roman;Times;serif"/>
                <w:color w:val="000000"/>
                <w:sz w:val="20"/>
              </w:rPr>
              <w:t>797,148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1" w:right="0" w:hanging="0"/>
              <w:jc w:val="left"/>
              <w:rPr>
                <w:color w:val="000000"/>
              </w:rPr>
            </w:pPr>
            <w:r>
              <w:rPr>
                <w:color w:val="000000"/>
              </w:rPr>
              <w:t xml:space="preserve">—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MoonLake AG Swiss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44"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29" w:right="0" w:hanging="0"/>
              <w:jc w:val="left"/>
              <w:rPr>
                <w:rFonts w:ascii="Times New Roman;Times;serif" w:hAnsi="Times New Roman;Times;serif"/>
                <w:color w:val="000000"/>
                <w:sz w:val="20"/>
              </w:rPr>
            </w:pPr>
            <w:r>
              <w:rPr>
                <w:rFonts w:ascii="Times New Roman;Times;serif" w:hAnsi="Times New Roman;Times;serif"/>
                <w:color w:val="000000"/>
                <w:sz w:val="20"/>
              </w:rPr>
              <w:t>377,642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71" w:right="0" w:hanging="0"/>
              <w:jc w:val="left"/>
              <w:rPr>
                <w:color w:val="000000"/>
              </w:rPr>
            </w:pPr>
            <w:r>
              <w:rPr>
                <w:color w:val="000000"/>
              </w:rPr>
              <w:t>—</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MoonLake AG Swiss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MoonLake AG Swiss Plan complies with Swiss tax requirements applicable to broad-based pension plans. Normal retirement age under the MoonLake AG Swiss Plan is 65, for men, and 64, for women. All benefits are immediately vested.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MoonLake AG Swiss Plan, 15% of pensionable salary is contributed as retirement credit with additional contributions for death and disability benefits. MoonLake AG makes 50% of the contributions, and the covered employee makes 50% of the contributions. For 2025, participants received an interest rate of return of 4.0% on retirement assets under the Swiss Federal Law on Occupational Retirement, Survivors’ and Disability Pension Plans (BVG) and 4.0% on extra-mandatory retirement assets. Pensionable salary under the MoonLake AG Swiss Plan is the annual base salary. The Present Value of Accumulated Benefit reported in the table above is the actual account value in the named executive officer’s pension fund, converted to USD from CHF using the exchange rate of 1.266 USD to 1 CHF as of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Annual benefits under the MoonLake AG Swiss Plan are calculated at a named executive officer’s retirement date and are equal to a percentage of the named executive officer’s account balance specified in the MoonLake AG Swiss Plan based on his age and retirement year. Under Swiss pension law, participants who were covered by the pension plan of another employer are required to transfer the termination benefit of that pension plan into the MoonLake AG Swiss Plan. Participants are permitted to withdraw part of the termination benefit, or pledge the termination benefit, for home ownership. Valuation assumptions with respect to the MoonLake AG Swiss Plan are included in our audited consolidated financial statements as of and for the period ended December 31, 2025 in our Annual Report on Form 10-K.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reflects the amount of compensation that would become payable to each of the named executive officers under existing plans and arrangements if that named executive officer’s employment had terminated on December 31, 2025 (pursuant to the executive’s arrangements then in effect) and/or a change of control had occurred on such date, given the named executive officer’s compensation levels as of such date and, if applicable, based on the Company’s closing share price on that date of $13.18. These benefits are in addition to benefits available prior to the occurrence of any termination of employment, including benefits generally available to salaried employees, such as distributions under the Company’s 401(k) plan. The actual amounts that would be paid upon a named executive officer’s termination of employment can be determined only at the time of such named executive officer’s separation from the Company. Due to the number of factors that affect the nature and amount of any benefits provided upon the events discussed below, any actual amounts paid or distributed may be higher or lower than reported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termination of employment by either Dr. Santos da Silva or Reich, he will be entitled to receive a prorated payment of his annual bonus based on the level of achievement through the date of termination. In the event of a termination of employment of either such executive by MoonLake AG, the board of directors of MoonLake AG will determine whether a bonus will be paid and the amount to be paid. Mr. Bodenstedt is not eligible for a bonus if at the time of the payment of the bonus, his employment is pending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Executive Employment Agreements includes an intellectual property assignment agreement, as well as a perpetual covenant prohibiting the officer from utilizing and disclosing confidential information, a non-competition covenant, an employee non-solicitation covenant and a customer non-solicitation covenant. For Drs. Santos da Silva and Reich, each of these covenants is in effect during the employment term and for a period of six months following a termination of employment. For Mr. Bodenstedt, the non-competition covenant is in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5" w:name="ny20067252x1_def14a_112-sumcomp_pg4"/>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employment term and for a period of twelve months following a termination of employment, and the employee non-solicitation covenant and the customer non-solicitation covenant are in effect during the employment term and for a period of eighteen months following a termination of employment. Such non-compete and non-solicitation covenants are referred to herein as the “post-termination restrictive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either Drs. Santos da Silva or Reich terminates his employment, then he is entitled to receive monthly compensation during the duration of such post-termination restrictive covenants in an amount of his last monthly fixed salary (gross). If he terminates his employment without just cause, then MoonLake AG may waive its right to enforce such post-termination restrictive covenants and thereby cease making such post-termination payments to the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MoonLake AG terminates the officer’s employment, then he is entitled to receive monthly compensation during the duration of such post-termination restrictive covenants in an amount of his monthly fixed salary (gross) plus an amount equal to one-twelfth of his annual target bonus. The officer would be entitled to receive such payments even if MoonLake AG waives its right to enforce the post-termination restrictive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an officer, including Mr. Bodenstedt, breaches his obligations under the post-termination restrictive covenants, he would owe a contractual penalty to MoonLake AG of CHF 100,000 for each individual breach. MoonLake AG would also be entitled to additional damages and to seek specific performance as a remedy. In addition, the officer would forfeit any remaining amounts that would have otherwise been payable during the duration of the post-termination restrictive covenants, and the officer would be required to repay any payments he previously received during the post-termination restrictive covenant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post-termination restrictive covenants are unenforceable, lapse or are not effective under applicable law, then Drs. Santos da Silva and Reich will instead receive a severance payment equal to 50% of his then current annual gross salary (plus 50% of his annual target bonus in the event MoonLake AG is the party that terminates employment) payable ratably over the six-month post-termination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all unvested equity awards would vest immediately.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of Control Table </w:t>
      </w:r>
    </w:p>
    <w:tbl>
      <w:tblPr>
        <w:tblW w:w="8195" w:type="dxa"/>
        <w:jc w:val="left"/>
        <w:tblInd w:w="0" w:type="dxa"/>
        <w:tblLayout w:type="fixed"/>
        <w:tblCellMar>
          <w:top w:w="0" w:type="dxa"/>
          <w:left w:w="0" w:type="dxa"/>
          <w:bottom w:w="0" w:type="dxa"/>
          <w:right w:w="0" w:type="dxa"/>
        </w:tblCellMar>
      </w:tblPr>
      <w:tblGrid>
        <w:gridCol w:w="2210"/>
        <w:gridCol w:w="170"/>
        <w:gridCol w:w="170"/>
        <w:gridCol w:w="830"/>
        <w:gridCol w:w="170"/>
        <w:gridCol w:w="170"/>
        <w:gridCol w:w="1655"/>
        <w:gridCol w:w="170"/>
        <w:gridCol w:w="170"/>
        <w:gridCol w:w="1175"/>
        <w:gridCol w:w="170"/>
        <w:gridCol w:w="170"/>
        <w:gridCol w:w="965"/>
      </w:tblGrid>
      <w:tr>
        <w:trPr/>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2210"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Voluntary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Termination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Involuntary Termination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(Without Cause or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Good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Reason) Not in Connection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with a Change in Control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Involuntary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Termination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Connection with 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Control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Control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Dr. Jorge Santos da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rFonts w:ascii="Times New Roman;Times;serif" w:hAnsi="Times New Roman;Times;serif"/>
                <w:color w:val="000000"/>
                <w:sz w:val="19"/>
              </w:rPr>
            </w:pPr>
            <w:r>
              <w:rPr>
                <w:rFonts w:ascii="Times New Roman;Times;serif" w:hAnsi="Times New Roman;Times;serif"/>
                <w:color w:val="000000"/>
                <w:sz w:val="19"/>
              </w:rPr>
              <w:t>398,924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rFonts w:ascii="Times New Roman;Times;serif" w:hAnsi="Times New Roman;Times;serif"/>
                <w:color w:val="000000"/>
                <w:sz w:val="19"/>
              </w:rPr>
            </w:pPr>
            <w:r>
              <w:rPr>
                <w:rFonts w:ascii="Times New Roman;Times;serif" w:hAnsi="Times New Roman;Times;serif"/>
                <w:color w:val="000000"/>
                <w:sz w:val="19"/>
              </w:rPr>
              <w:t>398,924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color w:val="000000"/>
                <w:sz w:val="19"/>
              </w:rPr>
            </w:pPr>
            <w:r>
              <w:rPr>
                <w:rFonts w:ascii="Times New Roman;Times;serif" w:hAnsi="Times New Roman;Times;serif"/>
                <w:color w:val="000000"/>
                <w:sz w:val="19"/>
              </w:rPr>
              <w:t>398,924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Healthcare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rFonts w:ascii="Times New Roman;Times;serif" w:hAnsi="Times New Roman;Times;serif"/>
                <w:color w:val="000000"/>
                <w:sz w:val="19"/>
              </w:rPr>
            </w:pPr>
            <w:r>
              <w:rPr>
                <w:rFonts w:ascii="Times New Roman;Times;serif" w:hAnsi="Times New Roman;Times;serif"/>
                <w:color w:val="000000"/>
                <w:sz w:val="19"/>
              </w:rPr>
              <w:t>219,408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color w:val="000000"/>
                <w:sz w:val="19"/>
              </w:rPr>
            </w:pPr>
            <w:r>
              <w:rPr>
                <w:rFonts w:ascii="Times New Roman;Times;serif" w:hAnsi="Times New Roman;Times;serif"/>
                <w:color w:val="000000"/>
                <w:sz w:val="19"/>
              </w:rPr>
              <w:t>219,408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Option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Stock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1,359,701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1,359,701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398,924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618,332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1,978,033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1,359,701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Base Salary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Healthcare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Bonus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Stock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1,408,467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1,408,467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bdr w:val="double" w:sz="8" w:space="1" w:color="000000"/>
              </w:rPr>
            </w:pPr>
            <w:r>
              <w:rPr>
                <w:color w:val="00000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color w:val="000000"/>
                <w:bdr w:val="double" w:sz="8" w:space="1" w:color="000000"/>
              </w:rPr>
            </w:pPr>
            <w:r>
              <w:rPr>
                <w:color w:val="00000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1,408,467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1,408,467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Dr. Kristian Reich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rFonts w:ascii="Times New Roman;Times;serif" w:hAnsi="Times New Roman;Times;serif"/>
                <w:color w:val="000000"/>
                <w:sz w:val="19"/>
              </w:rPr>
            </w:pPr>
            <w:r>
              <w:rPr>
                <w:rFonts w:ascii="Times New Roman;Times;serif" w:hAnsi="Times New Roman;Times;serif"/>
                <w:color w:val="000000"/>
                <w:sz w:val="19"/>
              </w:rPr>
              <w:t>398,924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rFonts w:ascii="Times New Roman;Times;serif" w:hAnsi="Times New Roman;Times;serif"/>
                <w:color w:val="000000"/>
                <w:sz w:val="19"/>
              </w:rPr>
            </w:pPr>
            <w:r>
              <w:rPr>
                <w:rFonts w:ascii="Times New Roman;Times;serif" w:hAnsi="Times New Roman;Times;serif"/>
                <w:color w:val="000000"/>
                <w:sz w:val="19"/>
              </w:rPr>
              <w:t>398,924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color w:val="000000"/>
                <w:sz w:val="19"/>
              </w:rPr>
            </w:pPr>
            <w:r>
              <w:rPr>
                <w:rFonts w:ascii="Times New Roman;Times;serif" w:hAnsi="Times New Roman;Times;serif"/>
                <w:color w:val="000000"/>
                <w:sz w:val="19"/>
              </w:rPr>
              <w:t>398,924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Healthcare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rFonts w:ascii="Times New Roman;Times;serif" w:hAnsi="Times New Roman;Times;serif"/>
                <w:color w:val="000000"/>
                <w:sz w:val="19"/>
              </w:rPr>
            </w:pPr>
            <w:r>
              <w:rPr>
                <w:rFonts w:ascii="Times New Roman;Times;serif" w:hAnsi="Times New Roman;Times;serif"/>
                <w:color w:val="000000"/>
                <w:sz w:val="19"/>
              </w:rPr>
              <w:t>219,408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color w:val="000000"/>
                <w:sz w:val="19"/>
              </w:rPr>
            </w:pPr>
            <w:r>
              <w:rPr>
                <w:rFonts w:ascii="Times New Roman;Times;serif" w:hAnsi="Times New Roman;Times;serif"/>
                <w:color w:val="000000"/>
                <w:sz w:val="19"/>
              </w:rPr>
              <w:t>219,408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Option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Stock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94"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97,545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97,545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398,924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94"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618,332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7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715,877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97,545</w:t>
            </w:r>
          </w:p>
        </w:tc>
      </w:tr>
      <w:tr>
        <w:trPr/>
        <w:tc>
          <w:tcPr>
            <w:tcW w:w="22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6" w:name="ny20067252x1_def14a_112-sumcomp_pg5"/>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7" w:name="tPR"/>
      <w:bookmarkEnd w:id="57"/>
      <w:r>
        <w:rPr>
          <w:rFonts w:ascii="Times New Roman;Times;serif" w:hAnsi="Times New Roman;Times;serif"/>
          <w:b/>
          <w:color w:val="000000"/>
          <w:sz w:val="20"/>
        </w:rPr>
        <w:t xml:space="preserve">CEO Pay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Item 402(u) of Regulation S-K, we are required to calculate and disclose the median of the annual total compensation of all of our employees (excluding our CEO, Dr. Santos da Silva), the annual total compensation of Dr. Santos da Silva, and the ratio of these two amounts.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under the SEC rules, we used the same median employee as last year because we believe we did not experience any changes in our employee population or employee compensation arrangements that would significantly impact the pay ratio disclosure. Our median employee was identified using the entire population of our employees as of December 31, 2024 based on a consistently applied compensation measure, or CACM, that reasonably reflects the annual compensation of our employees. The CACM selected by us for our disclosure was the base salary per December 31, 2024 plus the target bonus opportunity.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CACM methodology described above, we identified the median employee and then calculated the fiscal 2025 compensation for this selected employee in the same manner we determine the annual total compensation of our NEOs for purposes of the Summary Compensation Table. The median of the annual total compensation of all our employees was $237,155. Dr. Santos da Silva’s fiscal 2025 annual total compensation as disclosed in the 2025 Summary Compensation Table was $4,943,209. As a result, our CEO to median employee pay ratio for fiscal 2025 is 20.8:1.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 </w:t>
      </w:r>
    </w:p>
    <w:p>
      <w:pPr>
        <w:pStyle w:val="TextBody"/>
        <w:bidi w:val="0"/>
        <w:spacing w:before="280" w:after="283"/>
        <w:ind w:left="0" w:right="0" w:hanging="0"/>
        <w:jc w:val="left"/>
        <w:rPr>
          <w:rFonts w:ascii="Times New Roman;Times;serif" w:hAnsi="Times New Roman;Times;serif"/>
          <w:b/>
          <w:color w:val="000000"/>
          <w:sz w:val="20"/>
        </w:rPr>
      </w:pPr>
      <w:bookmarkStart w:id="58" w:name="tPVP"/>
      <w:bookmarkEnd w:id="58"/>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w:t>
      </w:r>
    </w:p>
    <w:tbl>
      <w:tblPr>
        <w:tblW w:w="11060" w:type="dxa"/>
        <w:jc w:val="left"/>
        <w:tblInd w:w="0" w:type="dxa"/>
        <w:tblLayout w:type="fixed"/>
        <w:tblCellMar>
          <w:top w:w="0" w:type="dxa"/>
          <w:left w:w="0" w:type="dxa"/>
          <w:bottom w:w="0" w:type="dxa"/>
          <w:right w:w="0" w:type="dxa"/>
        </w:tblCellMar>
      </w:tblPr>
      <w:tblGrid>
        <w:gridCol w:w="485"/>
        <w:gridCol w:w="170"/>
        <w:gridCol w:w="170"/>
        <w:gridCol w:w="1085"/>
        <w:gridCol w:w="170"/>
        <w:gridCol w:w="170"/>
        <w:gridCol w:w="1085"/>
        <w:gridCol w:w="170"/>
        <w:gridCol w:w="170"/>
        <w:gridCol w:w="1085"/>
        <w:gridCol w:w="170"/>
        <w:gridCol w:w="170"/>
        <w:gridCol w:w="1085"/>
        <w:gridCol w:w="170"/>
        <w:gridCol w:w="170"/>
        <w:gridCol w:w="935"/>
        <w:gridCol w:w="170"/>
        <w:gridCol w:w="170"/>
        <w:gridCol w:w="530"/>
        <w:gridCol w:w="170"/>
        <w:gridCol w:w="170"/>
        <w:gridCol w:w="1250"/>
        <w:gridCol w:w="170"/>
        <w:gridCol w:w="170"/>
        <w:gridCol w:w="80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r>
        <w:trPr/>
        <w:tc>
          <w:tcPr>
            <w:tcW w:w="48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(2)</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(4)</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Fixed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Based 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color w:val="000000"/>
              </w:rPr>
            </w:pPr>
            <w:r>
              <w:rPr>
                <w:color w:val="000000"/>
              </w:rPr>
              <w:t> </w:t>
            </w:r>
          </w:p>
        </w:tc>
      </w:tr>
      <w:tr>
        <w:trPr/>
        <w:tc>
          <w:tcPr>
            <w:tcW w:w="4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Loss</w:t>
            </w:r>
            <w:r>
              <w:rPr>
                <w:rFonts w:ascii="Times New Roman;Times;serif" w:hAnsi="Times New Roman;Times;serif"/>
                <w:b/>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Measure</w:t>
            </w:r>
            <w:r>
              <w:rPr>
                <w:rFonts w:ascii="Times New Roman;Times;serif" w:hAnsi="Times New Roman;Times;serif"/>
                <w:b/>
                <w:color w:val="000000"/>
                <w:position w:val="5"/>
                <w:sz w:val="13"/>
                <w:sz w:val="16"/>
              </w:rPr>
              <w:t>(8)</w:t>
            </w: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$4,943,209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340,955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$4,744,035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(423,555)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$(227,317,723)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$1,406,038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(225,066)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$1,167,747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(800,701)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$548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(118,935,517)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$1,198,215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$17,019,715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$1,061,251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$18,652,222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$79.8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(36,007,260)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$4,477,381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2,129,527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5,099,113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3,999,495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$74.1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(49,973,249)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tbl>
      <w:tblPr>
        <w:tblW w:w="8380" w:type="dxa"/>
        <w:jc w:val="left"/>
        <w:tblInd w:w="0" w:type="dxa"/>
        <w:tblLayout w:type="fixed"/>
        <w:tblCellMar>
          <w:top w:w="0" w:type="dxa"/>
          <w:left w:w="0" w:type="dxa"/>
          <w:bottom w:w="0" w:type="dxa"/>
          <w:right w:w="0" w:type="dxa"/>
        </w:tblCellMar>
      </w:tblPr>
      <w:tblGrid>
        <w:gridCol w:w="260"/>
        <w:gridCol w:w="81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1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are the amounts of total compensation reported in our Summary Compensation Table.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amount of “compensation actually paid”, as computed in accordance with SEC rules. The dollar amounts do not reflect the actual amount of compensation earned by or paid during the applicable year. In accordance with SEC rules, these amounts reflect “Total Compensation” as set forth in the Summary Compensation Table for each year, adjusted as shown below for the most recent fiscal year. Equity values are calculated in accordance with ASC Topic 718, and the valuation assumptions used to calculate fair values did not materially differ from those disclosed at the time of grant. </w:t>
            </w:r>
          </w:p>
        </w:tc>
      </w:tr>
    </w:tbl>
    <w:tbl>
      <w:tblPr>
        <w:tblW w:w="10205" w:type="dxa"/>
        <w:jc w:val="left"/>
        <w:tblInd w:w="0" w:type="dxa"/>
        <w:tblLayout w:type="fixed"/>
        <w:tblCellMar>
          <w:top w:w="0" w:type="dxa"/>
          <w:left w:w="0" w:type="dxa"/>
          <w:bottom w:w="0" w:type="dxa"/>
          <w:right w:w="0" w:type="dxa"/>
        </w:tblCellMar>
      </w:tblPr>
      <w:tblGrid>
        <w:gridCol w:w="8891"/>
        <w:gridCol w:w="170"/>
        <w:gridCol w:w="170"/>
        <w:gridCol w:w="974"/>
      </w:tblGrid>
      <w:tr>
        <w:trPr/>
        <w:tc>
          <w:tcPr>
            <w:tcW w:w="88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r>
      <w:tr>
        <w:trPr/>
        <w:tc>
          <w:tcPr>
            <w:tcW w:w="889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to 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88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Summary Compensation Table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4,943,209 </w:t>
            </w:r>
          </w:p>
        </w:tc>
      </w:tr>
      <w:tr>
        <w:trPr/>
        <w:tc>
          <w:tcPr>
            <w:tcW w:w="8891"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Less, value of “Stock Awards” and “Option Awards” reported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(4,000,021) </w:t>
            </w:r>
          </w:p>
        </w:tc>
      </w:tr>
      <w:tr>
        <w:trPr/>
        <w:tc>
          <w:tcPr>
            <w:tcW w:w="889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year-end fair value of outstanding and unvested equity awards granted in the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1,262,156 </w:t>
            </w:r>
          </w:p>
        </w:tc>
      </w:tr>
      <w:tr>
        <w:trPr/>
        <w:tc>
          <w:tcPr>
            <w:tcW w:w="8891"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fair value as of vesting date of equity awards granted and vested in the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89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(less), year over year change in fair value of outstanding and unvested equity awards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(303,199) </w:t>
            </w:r>
          </w:p>
        </w:tc>
      </w:tr>
      <w:tr>
        <w:trPr/>
        <w:tc>
          <w:tcPr>
            <w:tcW w:w="8891"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change in fair value from prior fiscal year end to vesting date of equity awards granted in prior years that vested in the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(1,471,227) </w:t>
            </w:r>
          </w:p>
        </w:tc>
      </w:tr>
      <w:tr>
        <w:trPr/>
        <w:tc>
          <w:tcPr>
            <w:tcW w:w="88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9" w:name="ny20067252x1_def14a_112-sumcomp_pg6"/>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054"/>
        <w:gridCol w:w="170"/>
        <w:gridCol w:w="170"/>
        <w:gridCol w:w="811"/>
      </w:tblGrid>
      <w:tr>
        <w:trPr/>
        <w:tc>
          <w:tcPr>
            <w:tcW w:w="9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0"/>
              <w:jc w:val="left"/>
              <w:rPr/>
            </w:pPr>
            <w:r>
              <w:rPr/>
              <w:t> </w:t>
            </w:r>
          </w:p>
        </w:tc>
      </w:tr>
      <w:tr>
        <w:trPr/>
        <w:tc>
          <w:tcPr>
            <w:tcW w:w="905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to 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9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Less, prior year-end fair value for any equity awards forfeited in the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283"/>
              <w:ind w:left="60" w:right="0" w:hanging="0"/>
              <w:jc w:val="left"/>
              <w:rPr>
                <w:color w:val="000000"/>
              </w:rPr>
            </w:pPr>
            <w:r>
              <w:rPr>
                <w:color w:val="000000"/>
              </w:rPr>
              <w:t xml:space="preserve">— </w:t>
            </w:r>
          </w:p>
        </w:tc>
      </w:tr>
      <w:tr>
        <w:trPr/>
        <w:tc>
          <w:tcPr>
            <w:tcW w:w="905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Less, change in accumulated benefits under defined benefit and actuarial pension plans reported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283"/>
              <w:ind w:left="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(155,880) </w:t>
            </w:r>
          </w:p>
        </w:tc>
      </w:tr>
      <w:tr>
        <w:trPr/>
        <w:tc>
          <w:tcPr>
            <w:tcW w:w="9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aggregate defined benefit and actuarial pension plan service cost and prior service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65,917 </w:t>
            </w:r>
          </w:p>
        </w:tc>
      </w:tr>
      <w:tr>
        <w:trPr/>
        <w:tc>
          <w:tcPr>
            <w:tcW w:w="905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dividends or other earnings paid on awards in the covered fiscal year prior to vesting if not otherwise included in the Summary Compensation Table Total for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283"/>
              <w:ind w:left="60" w:right="0" w:hanging="0"/>
              <w:jc w:val="left"/>
              <w:rPr>
                <w:color w:val="000000"/>
              </w:rPr>
            </w:pPr>
            <w:r>
              <w:rPr>
                <w:color w:val="000000"/>
              </w:rPr>
              <w:t xml:space="preserve">— </w:t>
            </w:r>
          </w:p>
        </w:tc>
      </w:tr>
      <w:tr>
        <w:trPr/>
        <w:tc>
          <w:tcPr>
            <w:tcW w:w="9054"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to PEO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340,955</w:t>
            </w:r>
          </w:p>
        </w:tc>
      </w:tr>
      <w:tr>
        <w:trPr/>
        <w:tc>
          <w:tcPr>
            <w:tcW w:w="90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average of the amounts reported for the Company’s named executive officers (NEOs) as a group (excluding our CEO) in the “Total” column of the Summary Compensation Table in each applicable year. The names of each of the NEOs (excluding our CEO) included for purposes of calculating the average amounts in each applicable year are Dr. Reich and Mr. Bodenstedt.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average amount of “compensation actually paid”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these amounts reflect “Total” as set forth in the Summary Compensation Table for each year, adjusted as shown below for the most recent fiscal year. Equity values are calculated in accordance with ASC Topic 718, and the valuation assumptions used to calculate fair values did not materially differ from those disclosed at the time of the grant. </w:t>
            </w:r>
          </w:p>
        </w:tc>
      </w:tr>
    </w:tbl>
    <w:tbl>
      <w:tblPr>
        <w:tblW w:w="10205" w:type="dxa"/>
        <w:jc w:val="left"/>
        <w:tblInd w:w="0" w:type="dxa"/>
        <w:tblLayout w:type="fixed"/>
        <w:tblCellMar>
          <w:top w:w="0" w:type="dxa"/>
          <w:left w:w="0" w:type="dxa"/>
          <w:bottom w:w="0" w:type="dxa"/>
          <w:right w:w="0" w:type="dxa"/>
        </w:tblCellMar>
      </w:tblPr>
      <w:tblGrid>
        <w:gridCol w:w="8920"/>
        <w:gridCol w:w="170"/>
        <w:gridCol w:w="170"/>
        <w:gridCol w:w="945"/>
      </w:tblGrid>
      <w:tr>
        <w:trPr/>
        <w:tc>
          <w:tcPr>
            <w:tcW w:w="8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89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Average Compensation Actually Paid to Non-PEO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8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Summary Compensation Table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4,744,035 </w:t>
            </w:r>
          </w:p>
        </w:tc>
      </w:tr>
      <w:tr>
        <w:trPr/>
        <w:tc>
          <w:tcPr>
            <w:tcW w:w="892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Less, average value of “Stock Awards” and “Option Awards” reported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(4,000,021) </w:t>
            </w:r>
          </w:p>
        </w:tc>
      </w:tr>
      <w:tr>
        <w:trPr/>
        <w:tc>
          <w:tcPr>
            <w:tcW w:w="8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average year-end fair value of outstanding and unvested equity awards granted in the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1,057,581 </w:t>
            </w:r>
          </w:p>
        </w:tc>
      </w:tr>
      <w:tr>
        <w:trPr/>
        <w:tc>
          <w:tcPr>
            <w:tcW w:w="892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average fair value as of vesting date of equity awards granted and vested in the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average year over year change in fair value of outstanding and unvested equity awards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(378,999) </w:t>
            </w:r>
          </w:p>
        </w:tc>
      </w:tr>
      <w:tr>
        <w:trPr/>
        <w:tc>
          <w:tcPr>
            <w:tcW w:w="8920"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average change in fair value from prior fiscal year end to vesting date of equity awards granted in prior years that vested in the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(1,839,034) </w:t>
            </w:r>
          </w:p>
        </w:tc>
      </w:tr>
      <w:tr>
        <w:trPr/>
        <w:tc>
          <w:tcPr>
            <w:tcW w:w="8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Less, prior year-end fair value for any equity awards forfeited in the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920"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Less, change in accumulated benefits under defined benefit and actuarial pension plans reported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(33,012) </w:t>
            </w:r>
          </w:p>
        </w:tc>
      </w:tr>
      <w:tr>
        <w:trPr/>
        <w:tc>
          <w:tcPr>
            <w:tcW w:w="8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aggregate defined benefit and actuarial pension plan service cost and prior service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25,895 </w:t>
            </w:r>
          </w:p>
        </w:tc>
      </w:tr>
      <w:tr>
        <w:trPr/>
        <w:tc>
          <w:tcPr>
            <w:tcW w:w="8920"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dividends or other earnings paid on awards in the covered fiscal year prior to vesting if not otherwise included in the Summary Compensation Table Total for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92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16"/>
              </w:rPr>
            </w:pPr>
            <w:r>
              <w:rPr>
                <w:rFonts w:ascii="Times New Roman;Times;serif" w:hAnsi="Times New Roman;Times;serif"/>
                <w:b/>
                <w:color w:val="000000"/>
                <w:sz w:val="16"/>
              </w:rPr>
              <w:t>Average Compensation Actually Paid to Non-PEO NEOs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(423,555)</w:t>
            </w:r>
          </w:p>
        </w:tc>
      </w:tr>
      <w:tr>
        <w:trPr/>
        <w:tc>
          <w:tcPr>
            <w:tcW w:w="8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The beginning of the measurement period for each year in the table is December 31, 2021. No dividends were paid during the periods presented. </w:t>
            </w:r>
          </w:p>
        </w:tc>
      </w:tr>
    </w:tbl>
    <w:tbl>
      <w:tblPr>
        <w:tblW w:w="5485" w:type="dxa"/>
        <w:jc w:val="left"/>
        <w:tblInd w:w="0" w:type="dxa"/>
        <w:tblLayout w:type="fixed"/>
        <w:tblCellMar>
          <w:top w:w="0" w:type="dxa"/>
          <w:left w:w="0" w:type="dxa"/>
          <w:bottom w:w="0" w:type="dxa"/>
          <w:right w:w="0" w:type="dxa"/>
        </w:tblCellMar>
      </w:tblPr>
      <w:tblGrid>
        <w:gridCol w:w="260"/>
        <w:gridCol w:w="52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5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peer group used for this purpose is the Nasdaq Biotechnology Index.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amount of net loss attributable to controlling interest shareholders, reflected in the Company’s audited financial statements for the applicable year.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does not use any financial performance measures to link executive compensation actually paid to Company performance. Consequently, no “Company Selected Measure” is included in the table above. </w:t>
            </w:r>
          </w:p>
        </w:tc>
      </w:tr>
    </w:tbl>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Analysis of the Information Presented in the Pay versus Performance Table</w:t>
      </w:r>
      <w:r>
        <w:rPr>
          <w:rFonts w:ascii="Times New Roman;Times;serif" w:hAnsi="Times New Roman;Times;serif"/>
          <w:i/>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reflects a variable pay-for-performance philosophy. While we utilize several performance measures to align executive compensation with Company performance, all of those Company measures are not presented in the Pay versus Performance table. Moreover, we generally seek to incentivize long-term performance, and therefore do not specifically align the Company’s performance measures with compensation that is actually paid (as computed in accordance with SEC rules) for a particular year. In accordance with SEC rules, we are providing the following descriptions of the relationships between information presented in the Pay versus Performance table.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0" w:name="ny20067252x1_def14a_112-sumcomp_pg7"/>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Compensation Actually Paid, Cumulative TSR, and Peer Group TSR</w:t>
      </w:r>
      <w:r>
        <w:rPr>
          <w:rFonts w:ascii="Times New Roman;Times;serif" w:hAnsi="Times New Roman;Times;serif"/>
          <w:i/>
          <w:color w:val="000000"/>
          <w:sz w:val="20"/>
        </w:rPr>
        <w:t xml:space="preserve"> </w:t>
      </w:r>
    </w:p>
    <w:p>
      <w:pPr>
        <w:pStyle w:val="TextBody"/>
        <w:bidi w:val="0"/>
        <w:spacing w:before="285" w:after="283"/>
        <w:jc w:val="center"/>
        <w:rPr>
          <w:color w:val="000000"/>
        </w:rPr>
      </w:pPr>
      <w:r>
        <w:rPr>
          <w:color w:val="000000"/>
        </w:rPr>
        <w:drawing>
          <wp:inline distT="0" distB="0" distL="0" distR="0">
            <wp:extent cx="5305425" cy="3581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305425" cy="3581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ind w:left="0" w:right="0" w:hanging="0"/>
        <w:jc w:val="left"/>
        <w:rPr>
          <w:rFonts w:ascii="Times New Roman;Times;serif" w:hAnsi="Times New Roman;Times;serif"/>
          <w:i/>
          <w:color w:val="000000"/>
          <w:sz w:val="20"/>
          <w:u w:val="single"/>
        </w:rPr>
      </w:pPr>
      <w:r>
        <w:rPr>
          <w:rFonts w:ascii="Times New Roman;Times;serif" w:hAnsi="Times New Roman;Times;serif"/>
          <w:i/>
          <w:color w:val="000000"/>
          <w:sz w:val="20"/>
          <w:u w:val="single"/>
        </w:rPr>
        <w:t>Compensation Actually Paid and Net Income (Loss)</w:t>
      </w:r>
    </w:p>
    <w:p>
      <w:pPr>
        <w:pStyle w:val="TextBody"/>
        <w:bidi w:val="0"/>
        <w:spacing w:before="285" w:after="283"/>
        <w:jc w:val="center"/>
        <w:rPr>
          <w:color w:val="000000"/>
        </w:rPr>
      </w:pPr>
      <w:r>
        <w:rPr>
          <w:color w:val="000000"/>
        </w:rPr>
        <w:drawing>
          <wp:inline distT="0" distB="0" distL="0" distR="0">
            <wp:extent cx="5362575" cy="3200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62575" cy="3200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1" w:name="ny20067252x1_def14a_112-sumcomp_pg8"/>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Financial Performance Measures</w:t>
      </w:r>
      <w:r>
        <w:rPr>
          <w:rFonts w:ascii="Times New Roman;Times;serif" w:hAnsi="Times New Roman;Times;serif"/>
          <w:i/>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greater detail in the Compensation Discussion and Analysis section, the Company’s executive compensation program reflects a variable pay-for-performance philosophy. The metrics that the Company uses for our short-term incentive awards are selected based on an objective of incentivizing our NEOs to increase the value of our enterprise for our shareholders. The Company does not currently use any financial performance measures to link executive compensation actually paid to our performance. However, the most important performance measures used by the Company to link executive compensation actually paid to the Company’s NEOs, for the most recently completed fiscal year, to the Company’s performance are as follows: </w:t>
      </w:r>
    </w:p>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Building the Company and its profile with key stakeholders including execution against hiring plans; </w:t>
            </w:r>
          </w:p>
        </w:tc>
      </w:tr>
    </w:tbl>
    <w:tbl>
      <w:tblPr>
        <w:tblW w:w="9715" w:type="dxa"/>
        <w:jc w:val="left"/>
        <w:tblInd w:w="0" w:type="dxa"/>
        <w:tblLayout w:type="fixed"/>
        <w:tblCellMar>
          <w:top w:w="0" w:type="dxa"/>
          <w:left w:w="0" w:type="dxa"/>
          <w:bottom w:w="0" w:type="dxa"/>
          <w:right w:w="0" w:type="dxa"/>
        </w:tblCellMar>
      </w:tblPr>
      <w:tblGrid>
        <w:gridCol w:w="140"/>
        <w:gridCol w:w="9575"/>
      </w:tblGrid>
      <w:tr>
        <w:trPr/>
        <w:tc>
          <w:tcPr>
            <w:tcW w:w="14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the SLK development programs across indications including study initiation and enrollment as per plans; </w:t>
            </w:r>
          </w:p>
        </w:tc>
      </w:tr>
    </w:tbl>
    <w:tbl>
      <w:tblPr>
        <w:tblW w:w="9880" w:type="dxa"/>
        <w:jc w:val="left"/>
        <w:tblInd w:w="0" w:type="dxa"/>
        <w:tblLayout w:type="fixed"/>
        <w:tblCellMar>
          <w:top w:w="0" w:type="dxa"/>
          <w:left w:w="0" w:type="dxa"/>
          <w:bottom w:w="0" w:type="dxa"/>
          <w:right w:w="0" w:type="dxa"/>
        </w:tblCellMar>
      </w:tblPr>
      <w:tblGrid>
        <w:gridCol w:w="140"/>
        <w:gridCol w:w="9740"/>
      </w:tblGrid>
      <w:tr>
        <w:trPr/>
        <w:tc>
          <w:tcPr>
            <w:tcW w:w="14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Securing financial stability by raising capital, securing non-dilutive sources of financing and managing cash burn; and </w:t>
            </w:r>
          </w:p>
        </w:tc>
      </w:tr>
    </w:tbl>
    <w:tbl>
      <w:tblPr>
        <w:tblW w:w="7510" w:type="dxa"/>
        <w:jc w:val="left"/>
        <w:tblInd w:w="0" w:type="dxa"/>
        <w:tblLayout w:type="fixed"/>
        <w:tblCellMar>
          <w:top w:w="0" w:type="dxa"/>
          <w:left w:w="0" w:type="dxa"/>
          <w:bottom w:w="0" w:type="dxa"/>
          <w:right w:w="0" w:type="dxa"/>
        </w:tblCellMar>
      </w:tblPr>
      <w:tblGrid>
        <w:gridCol w:w="140"/>
        <w:gridCol w:w="7370"/>
      </w:tblGrid>
      <w:tr>
        <w:trPr/>
        <w:tc>
          <w:tcPr>
            <w:tcW w:w="14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Building the foundations for pre-market activities for a successful launch of SLK in 2027.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2" w:name="ny20067252x1_def14a_113-certain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CIA"/>
      <w:bookmarkStart w:id="64" w:name="t"/>
      <w:bookmarkEnd w:id="63"/>
      <w:bookmarkEnd w:id="64"/>
      <w:r>
        <w:rPr>
          <w:rFonts w:ascii="Times New Roman;Times;serif" w:hAnsi="Times New Roman;Times;serif"/>
          <w:b/>
          <w:color w:val="000000"/>
          <w:sz w:val="20"/>
        </w:rPr>
        <w:t xml:space="preserve">CERTAIN INFORMATION ABOUT OUR ORDINARY SHARES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us regarding the beneficial ownership of our voting ordinary shares as of April 1, 2026 (except as otherwise indicated in the footnotes to the table),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shareholder or group of shareholders known by us as of such date to be the beneficial owner of more than five percent (5%) of the outstanding shares of each class of our voting ordinary shares; </w:t>
            </w:r>
          </w:p>
        </w:tc>
      </w:tr>
    </w:tbl>
    <w:tbl>
      <w:tblPr>
        <w:tblW w:w="3145" w:type="dxa"/>
        <w:jc w:val="left"/>
        <w:tblInd w:w="0" w:type="dxa"/>
        <w:tblLayout w:type="fixed"/>
        <w:tblCellMar>
          <w:top w:w="0" w:type="dxa"/>
          <w:left w:w="0" w:type="dxa"/>
          <w:bottom w:w="0" w:type="dxa"/>
          <w:right w:w="0" w:type="dxa"/>
        </w:tblCellMar>
      </w:tblPr>
      <w:tblGrid>
        <w:gridCol w:w="140"/>
        <w:gridCol w:w="3005"/>
      </w:tblGrid>
      <w:tr>
        <w:trPr/>
        <w:tc>
          <w:tcPr>
            <w:tcW w:w="14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nominees;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5110" w:type="dxa"/>
        <w:jc w:val="left"/>
        <w:tblInd w:w="0" w:type="dxa"/>
        <w:tblLayout w:type="fixed"/>
        <w:tblCellMar>
          <w:top w:w="0" w:type="dxa"/>
          <w:left w:w="0" w:type="dxa"/>
          <w:bottom w:w="0" w:type="dxa"/>
          <w:right w:w="0" w:type="dxa"/>
        </w:tblCellMar>
      </w:tblPr>
      <w:tblGrid>
        <w:gridCol w:w="140"/>
        <w:gridCol w:w="4970"/>
      </w:tblGrid>
      <w:tr>
        <w:trPr/>
        <w:tc>
          <w:tcPr>
            <w:tcW w:w="14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any shares that the individual has the right to acquire within 60 days after the date of this table. Unless otherwise indicated, to our knowledge and subject to community property rules, we believe that all persons named in the table below have sole voting and sole investment power with respect to the voting securities beneficially owned by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our MAA, each Class A Ordinary Share entitles the holders thereof to one vote per share and such economic rights as are set forth in the MAA. The beneficial ownership in the table below is based on 72,605,691 Class A Ordinary Shares outstanding as of the date of this table. </w:t>
      </w:r>
    </w:p>
    <w:tbl>
      <w:tblPr>
        <w:tblW w:w="9035" w:type="dxa"/>
        <w:jc w:val="left"/>
        <w:tblInd w:w="0" w:type="dxa"/>
        <w:tblLayout w:type="fixed"/>
        <w:tblCellMar>
          <w:top w:w="0" w:type="dxa"/>
          <w:left w:w="0" w:type="dxa"/>
          <w:bottom w:w="0" w:type="dxa"/>
          <w:right w:w="0" w:type="dxa"/>
        </w:tblCellMar>
      </w:tblPr>
      <w:tblGrid>
        <w:gridCol w:w="6395"/>
        <w:gridCol w:w="170"/>
        <w:gridCol w:w="170"/>
        <w:gridCol w:w="980"/>
        <w:gridCol w:w="170"/>
        <w:gridCol w:w="170"/>
        <w:gridCol w:w="980"/>
      </w:tblGrid>
      <w:tr>
        <w:trPr/>
        <w:tc>
          <w:tcPr>
            <w:tcW w:w="6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63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Named Executive Officers and Directors</w:t>
            </w:r>
            <w:r>
              <w:rPr>
                <w:rFonts w:ascii="Times New Roman;Times;serif" w:hAnsi="Times New Roman;Times;serif"/>
                <w:b/>
                <w:i/>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Jorge Santos da Silva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3,074,893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Kristian Reich</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3,044,758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r>
      <w:tr>
        <w:trPr/>
        <w:tc>
          <w:tcPr>
            <w:tcW w:w="6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Matthias Bodenstedt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1,276,305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Andrew Phillips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70,667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Spike Loy</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Catherine Moukheibir</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47,167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Ramnik Xavier</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(Seven Individuals)</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7,610,124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 </w:t>
            </w:r>
          </w:p>
        </w:tc>
      </w:tr>
      <w:tr>
        <w:trPr/>
        <w:tc>
          <w:tcPr>
            <w:tcW w:w="639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Five Percent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Certain funds managed by BVF Partners L.P.</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16,001,284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 </w:t>
            </w:r>
          </w:p>
        </w:tc>
      </w:tr>
      <w:tr>
        <w:trPr/>
        <w:tc>
          <w:tcPr>
            <w:tcW w:w="6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Deep Track Capital, LP</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4,610,071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6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Cormorant Asset Management, LP</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4,355,433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63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w:t>
            </w:r>
          </w:p>
        </w:tc>
      </w:tr>
    </w:tbl>
    <w:tbl>
      <w:tblPr>
        <w:tblW w:w="9295" w:type="dxa"/>
        <w:jc w:val="left"/>
        <w:tblInd w:w="0" w:type="dxa"/>
        <w:tblLayout w:type="fixed"/>
        <w:tblCellMar>
          <w:top w:w="0" w:type="dxa"/>
          <w:left w:w="0" w:type="dxa"/>
          <w:bottom w:w="0" w:type="dxa"/>
          <w:right w:w="0" w:type="dxa"/>
        </w:tblCellMar>
      </w:tblPr>
      <w:tblGrid>
        <w:gridCol w:w="260"/>
        <w:gridCol w:w="90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0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entities or individuals listed is Dorfstrasse 29, 6300 Zug, Switzerland.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2,974,551 Class A Ordinary Shares held by JeruCon Beratungsgesellschaft mbH, (ii) 35,389 Class A Ordinary Shares held by Dr. Reich and (iii) 34,818 Class A Ordinary Shares underlying options exercisable within 60 days of the date of this table. Dr. Reich may be deemed to beneficially own the shares held by JeruCon Beratungsgesellschaft mbH. </w:t>
            </w:r>
          </w:p>
        </w:tc>
      </w:tr>
    </w:tbl>
    <w:tbl>
      <w:tblPr>
        <w:tblW w:w="8350" w:type="dxa"/>
        <w:jc w:val="left"/>
        <w:tblInd w:w="0" w:type="dxa"/>
        <w:tblLayout w:type="fixed"/>
        <w:tblCellMar>
          <w:top w:w="0" w:type="dxa"/>
          <w:left w:w="0" w:type="dxa"/>
          <w:bottom w:w="0" w:type="dxa"/>
          <w:right w:w="0" w:type="dxa"/>
        </w:tblCellMar>
      </w:tblPr>
      <w:tblGrid>
        <w:gridCol w:w="260"/>
        <w:gridCol w:w="80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0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entirely of Class A Ordinary Shares underlying options exercisable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7,361,138 Class A Ordinary Shares and (ii) 248,986 Class A Ordinary Shares underlying options exercisable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on April 2, 2026 and consists of (i) 8,302,735 Class A Ordinary Shares held by Biotechnology Value Fund, L.P. (“BVF”), (ii) 6,599,722 Class A Ordinary Shares held by Biotechnology Value Fund II, L.P. (“BVF2”), (iii) 1,039,238 Class A Ordinary Shares held by Biotechnology Value Trading Fund OS, L.P. (“Trading Fund OS”) and (iv) 59,589 Class A Ordinary Shares held by a certain managed account (the “Partners Managed Account”). BVF I GP LLC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shares beneficially owned by Trading Fund OS. BVF GP Holdings LLC (“BVF GPH”), as the sole member of each of BVF GP and BVF2 GP, may be deemed to beneficially own the shares beneficially owned in the aggregate by BVF and BVF2. Partners, as the investment manager of each of BVF, BVF2, Trading Fund OS and the Partners Managed Account, and the sole member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5" w:name="ny20067252x1_def14a_113-certain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Partners OS, may be deemed to beneficially own the shares beneficially owned in the aggregate by BVF, BVF2, Trading Fund OS and held in the Partners Managed Account. BVF Inc., as the general partner of Partners, may be deemed to beneficially own the shares beneficially owned by Partners. Mark Lampert, as a director and officer of BVF Inc., may be deemed to beneficially own the shares beneficially owned by BVF Inc. Pursuant to a certain agreement entered into between Mr. Loy and Partners, Mr. Loy is obligated to transfer to Partners the economic benefit, if any, received upon the sale of the shares issuable upon the exercise of his options.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Mr. Loy disclaims beneficial ownership of the shares that he does not directly own. The business address for each of the entities and Mr. Lampert is 44 Montgomery St., 40th Floor, San Francisco, California 94104.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on November 12, 2025 and consists of 4,610,071 Class A Ordinary Shares held by entities affiliated with Deep Track Capital, LP (“Deep Track”). Deep Track, Deep Track Biotechnology Master Fund, Ltd. (“Master Fund”) and David Kroin hold shared voting and dispositive power over the shares. The business address of Deep Track and Mr. Kroin is 200 Greenwich Ave., 3rd Floor, Greenwich, Connecticut 06830. The business address of Master Fund is c/o Walkers Corporate Limited, 190 Elgin Ave., George Town, KY1-9001, Cayman Islands.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on February 17, 2026 and consists of 4,355,433 Class A Ordinary Shares held by entities affiliated with Cormorant Asset Management, LP (“Cormorant”). Cormorant and Bihua Chen hold shared voting and dispositive power over the shares. The business address of Cormorant and Ms. Chen is 200 Clarendon St., 52nd Floor, Boston, Massachusetts 02116.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Securities Authorized for Issuance Under Equity Compensation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about our equity compensation plans as of December 31, 2025. As of December 31, 2025, we had outstanding awards under the Incentive Plan. </w:t>
      </w:r>
    </w:p>
    <w:tbl>
      <w:tblPr>
        <w:tblW w:w="10205" w:type="dxa"/>
        <w:jc w:val="left"/>
        <w:tblInd w:w="0" w:type="dxa"/>
        <w:tblLayout w:type="fixed"/>
        <w:tblCellMar>
          <w:top w:w="0" w:type="dxa"/>
          <w:left w:w="0" w:type="dxa"/>
          <w:bottom w:w="0" w:type="dxa"/>
          <w:right w:w="0" w:type="dxa"/>
        </w:tblCellMar>
      </w:tblPr>
      <w:tblGrid>
        <w:gridCol w:w="4458"/>
        <w:gridCol w:w="170"/>
        <w:gridCol w:w="170"/>
        <w:gridCol w:w="1559"/>
        <w:gridCol w:w="170"/>
        <w:gridCol w:w="170"/>
        <w:gridCol w:w="1622"/>
        <w:gridCol w:w="170"/>
        <w:gridCol w:w="170"/>
        <w:gridCol w:w="1546"/>
      </w:tblGrid>
      <w:tr>
        <w:trPr/>
        <w:tc>
          <w:tcPr>
            <w:tcW w:w="44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6" w:type="dxa"/>
            <w:tcBorders/>
            <w:vAlign w:val="center"/>
          </w:tcPr>
          <w:p>
            <w:pPr>
              <w:pStyle w:val="TableContents"/>
              <w:bidi w:val="0"/>
              <w:spacing w:before="0" w:after="0"/>
              <w:jc w:val="left"/>
              <w:rPr/>
            </w:pPr>
            <w:r>
              <w:rPr/>
              <w:t> </w:t>
            </w:r>
          </w:p>
        </w:tc>
      </w:tr>
      <w:tr>
        <w:trPr/>
        <w:tc>
          <w:tcPr>
            <w:tcW w:w="445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45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9" w:type="dxa"/>
            <w:tcBorders/>
            <w:shd w:fill="CCEEFF" w:val="clear"/>
            <w:vAlign w:val="center"/>
          </w:tcPr>
          <w:p>
            <w:pPr>
              <w:pStyle w:val="TableContents"/>
              <w:bidi w:val="0"/>
              <w:spacing w:before="0" w:after="283"/>
              <w:ind w:left="275" w:right="0" w:hanging="0"/>
              <w:jc w:val="left"/>
              <w:rPr>
                <w:rFonts w:ascii="Times New Roman;Times;serif" w:hAnsi="Times New Roman;Times;serif"/>
                <w:color w:val="000000"/>
                <w:sz w:val="20"/>
              </w:rPr>
            </w:pPr>
            <w:r>
              <w:rPr>
                <w:rFonts w:ascii="Times New Roman;Times;serif" w:hAnsi="Times New Roman;Times;serif"/>
                <w:color w:val="000000"/>
                <w:sz w:val="20"/>
              </w:rPr>
              <w:t>2,156,512</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2" w:type="dxa"/>
            <w:tcBorders/>
            <w:shd w:fill="CCEEFF" w:val="clear"/>
            <w:vAlign w:val="center"/>
          </w:tcPr>
          <w:p>
            <w:pPr>
              <w:pStyle w:val="TableContents"/>
              <w:bidi w:val="0"/>
              <w:spacing w:before="0" w:after="283"/>
              <w:ind w:left="401" w:right="0" w:hanging="0"/>
              <w:jc w:val="left"/>
              <w:rPr>
                <w:rFonts w:ascii="Times New Roman;Times;serif" w:hAnsi="Times New Roman;Times;serif"/>
                <w:color w:val="000000"/>
                <w:sz w:val="20"/>
              </w:rPr>
            </w:pPr>
            <w:r>
              <w:rPr>
                <w:rFonts w:ascii="Times New Roman;Times;serif" w:hAnsi="Times New Roman;Times;serif"/>
                <w:color w:val="000000"/>
                <w:sz w:val="20"/>
              </w:rPr>
              <w:t>$24.76</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6"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1,836,618</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445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9" w:type="dxa"/>
            <w:tcBorders/>
            <w:vAlign w:val="center"/>
          </w:tcPr>
          <w:p>
            <w:pPr>
              <w:pStyle w:val="TableContents"/>
              <w:bidi w:val="0"/>
              <w:spacing w:before="0" w:after="283"/>
              <w:ind w:left="2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2" w:type="dxa"/>
            <w:tcBorders/>
            <w:vAlign w:val="center"/>
          </w:tcPr>
          <w:p>
            <w:pPr>
              <w:pStyle w:val="TableContents"/>
              <w:bidi w:val="0"/>
              <w:spacing w:before="0" w:after="283"/>
              <w:ind w:left="4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6" w:type="dxa"/>
            <w:tcBorders/>
            <w:vAlign w:val="center"/>
          </w:tcPr>
          <w:p>
            <w:pPr>
              <w:pStyle w:val="TableContents"/>
              <w:bidi w:val="0"/>
              <w:spacing w:before="0" w:after="283"/>
              <w:ind w:left="240" w:right="0" w:hanging="0"/>
              <w:jc w:val="left"/>
              <w:rPr>
                <w:color w:val="000000"/>
              </w:rPr>
            </w:pPr>
            <w:r>
              <w:rPr>
                <w:color w:val="000000"/>
              </w:rPr>
              <w:t xml:space="preserve">— </w:t>
            </w:r>
          </w:p>
        </w:tc>
      </w:tr>
      <w:tr>
        <w:trPr/>
        <w:tc>
          <w:tcPr>
            <w:tcW w:w="44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9" w:type="dxa"/>
            <w:tcBorders/>
            <w:shd w:fill="CCEEFF" w:val="clear"/>
            <w:vAlign w:val="center"/>
          </w:tcPr>
          <w:p>
            <w:pPr>
              <w:pStyle w:val="TableContents"/>
              <w:bidi w:val="0"/>
              <w:spacing w:before="0" w:after="283"/>
              <w:ind w:left="275" w:right="0" w:hanging="0"/>
              <w:jc w:val="left"/>
              <w:rPr>
                <w:rFonts w:ascii="Times New Roman;Times;serif" w:hAnsi="Times New Roman;Times;serif"/>
                <w:color w:val="000000"/>
                <w:sz w:val="20"/>
              </w:rPr>
            </w:pPr>
            <w:r>
              <w:rPr>
                <w:rFonts w:ascii="Times New Roman;Times;serif" w:hAnsi="Times New Roman;Times;serif"/>
                <w:color w:val="000000"/>
                <w:sz w:val="20"/>
              </w:rPr>
              <w:t>2,156,512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2" w:type="dxa"/>
            <w:tcBorders/>
            <w:shd w:fill="CCEEFF" w:val="clear"/>
            <w:vAlign w:val="center"/>
          </w:tcPr>
          <w:p>
            <w:pPr>
              <w:pStyle w:val="TableContents"/>
              <w:bidi w:val="0"/>
              <w:spacing w:before="0" w:after="283"/>
              <w:ind w:left="401" w:right="0" w:hanging="0"/>
              <w:jc w:val="left"/>
              <w:rPr>
                <w:rFonts w:ascii="Times New Roman;Times;serif" w:hAnsi="Times New Roman;Times;serif"/>
                <w:color w:val="000000"/>
                <w:sz w:val="20"/>
              </w:rPr>
            </w:pPr>
            <w:r>
              <w:rPr>
                <w:rFonts w:ascii="Times New Roman;Times;serif" w:hAnsi="Times New Roman;Times;serif"/>
                <w:color w:val="000000"/>
                <w:sz w:val="20"/>
              </w:rPr>
              <w:t>$24.76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6"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1,836,618</w:t>
            </w:r>
          </w:p>
        </w:tc>
      </w:tr>
      <w:tr>
        <w:trPr/>
        <w:tc>
          <w:tcPr>
            <w:tcW w:w="445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6" w:type="dxa"/>
            <w:tcBorders/>
            <w:shd w:fill="CCEEFF" w:val="clear"/>
            <w:vAlign w:val="center"/>
          </w:tcPr>
          <w:p>
            <w:pPr>
              <w:pStyle w:val="TableContents"/>
              <w:bidi w:val="0"/>
              <w:spacing w:before="0" w:after="0"/>
              <w:jc w:val="left"/>
              <w:rPr/>
            </w:pPr>
            <w:r>
              <w:rPr/>
              <w:t> </w:t>
            </w:r>
          </w:p>
        </w:tc>
      </w:tr>
    </w:tbl>
    <w:tbl>
      <w:tblPr>
        <w:tblW w:w="4435" w:type="dxa"/>
        <w:jc w:val="left"/>
        <w:tblInd w:w="0" w:type="dxa"/>
        <w:tblLayout w:type="fixed"/>
        <w:tblCellMar>
          <w:top w:w="0" w:type="dxa"/>
          <w:left w:w="0" w:type="dxa"/>
          <w:bottom w:w="0" w:type="dxa"/>
          <w:right w:w="0" w:type="dxa"/>
        </w:tblCellMar>
      </w:tblPr>
      <w:tblGrid>
        <w:gridCol w:w="260"/>
        <w:gridCol w:w="41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share options granted under the Incentive Plan. </w:t>
            </w:r>
          </w:p>
        </w:tc>
      </w:tr>
    </w:tbl>
    <w:tbl>
      <w:tblPr>
        <w:tblW w:w="6955" w:type="dxa"/>
        <w:jc w:val="left"/>
        <w:tblInd w:w="0" w:type="dxa"/>
        <w:tblLayout w:type="fixed"/>
        <w:tblCellMar>
          <w:top w:w="0" w:type="dxa"/>
          <w:left w:w="0" w:type="dxa"/>
          <w:bottom w:w="0" w:type="dxa"/>
          <w:right w:w="0" w:type="dxa"/>
        </w:tblCellMar>
      </w:tblPr>
      <w:tblGrid>
        <w:gridCol w:w="260"/>
        <w:gridCol w:w="66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6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weighted-average exercise price of share options granted under the Incentive Plan. </w:t>
            </w:r>
          </w:p>
        </w:tc>
      </w:tr>
    </w:tbl>
    <w:tbl>
      <w:tblPr>
        <w:tblW w:w="4030" w:type="dxa"/>
        <w:jc w:val="left"/>
        <w:tblInd w:w="0" w:type="dxa"/>
        <w:tblLayout w:type="fixed"/>
        <w:tblCellMar>
          <w:top w:w="0" w:type="dxa"/>
          <w:left w:w="0" w:type="dxa"/>
          <w:bottom w:w="0" w:type="dxa"/>
          <w:right w:w="0" w:type="dxa"/>
        </w:tblCellMar>
      </w:tblPr>
      <w:tblGrid>
        <w:gridCol w:w="260"/>
        <w:gridCol w:w="37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shares available under the Incentive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6" w:name="ny20067252x1_def14a_113-certain_pg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CR"/>
      <w:bookmarkEnd w:id="67"/>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each transaction or series of similar transactions since January 1, 2025, or any currently proposed transaction, to which we were or are a party in which: </w:t>
      </w:r>
    </w:p>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involved exceeds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of our directors or executive officers, any holder of more than 5% of any class of our voting ordinary shares or any member of his or her immediate family had or will have a direct or indirect material interest, other than compensation and other arrangements that are described under the section titled “Executive Compensation” or that were approved by our Compensation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of securities is determined in accordance with the rules of the SEC and generally includes voting or investment power with respect to such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Amended and Restated 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5, 2022, MoonLake AG entered into the Amended and Restated Registration Rights Agreement with Helix Holdings LLC, a Cayman Islands limited liability company, and the existing equityholders of MoonLake AG and equityholders of MoonLake AG that executed joinders to the Business Combination Agreement dated October 4, 2021, pursuant to which, among other things, the parties thereto were granted certain customary registration rights with respect to Class A Ordinary Shares beneficially held by them, directly or indirectly, and subject to transfer restrictions with respect to the Class A Ordinary Shares and Class C Ordinary Shares beneficially held by them, as applicable.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written related person transaction policy that sets forth our procedures for the identification, review, consideration and approval or ratification of related person transactions. For purposes of our policy, a related person transaction is a transaction, arrangement or relationship, or any series of similar transactions, arrangements or relationships, in which we and any related person (as defined above) are, were or will be participants in which the amount involved exceeds the lesser of $120,000 or one percent of the average of our total assets at year-end for the last two completed fiscal years. Transactions involving compensation for services provided to us as an employee or director, among other limited exceptions, are deemed to have standing pre-approval by the Audit Committee but may be specifically reviewed if appropriate in light of the facts and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policy, if a transaction has been identified as a related person transaction, our Audit Committee must review the material facts and either approve or disapprove of the entry into the transaction. If advance approval of the transaction is not feasible, then the transaction will be considered and, if the Audit Committee determines it to be appropriate, ratified at the next regularly scheduled meeting. In addition, under our Code of Business Conduct and Ethics, our employees and directors have an affirmative responsibility to avoid activities that create or give the appearance of a conflict of interest, and directors and executive officers must consult and seek prior approval of potential conflicts of interest from the Audit Committee. In considering related party transactions, our Audit Committee will take into account the relevant available facts and circumstances including, but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transaction is on terms no less favorable than terms generally available to an unaffiliated third party under the same or similar circumstances; and </w:t>
            </w:r>
          </w:p>
        </w:tc>
      </w:tr>
    </w:tbl>
    <w:tbl>
      <w:tblPr>
        <w:tblW w:w="5050" w:type="dxa"/>
        <w:jc w:val="left"/>
        <w:tblInd w:w="0" w:type="dxa"/>
        <w:tblLayout w:type="fixed"/>
        <w:tblCellMar>
          <w:top w:w="0" w:type="dxa"/>
          <w:left w:w="0" w:type="dxa"/>
          <w:bottom w:w="0" w:type="dxa"/>
          <w:right w:w="0" w:type="dxa"/>
        </w:tblCellMar>
      </w:tblPr>
      <w:tblGrid>
        <w:gridCol w:w="140"/>
        <w:gridCol w:w="4910"/>
      </w:tblGrid>
      <w:tr>
        <w:trPr/>
        <w:tc>
          <w:tcPr>
            <w:tcW w:w="14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of the related person’s interest in the transaction.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related party transactions described above were consummated prior to our adoption of the formal, written policy described above, and, accordingly, the foregoing policies and procedures were not followed with respect to these transactions. However, we believe that the terms obtained or consideration that we paid or received, as applicable, in connection with these transactions were comparable to terms available or the amounts that would be paid or received, as applicable, in arm’s-length transactions at such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8" w:name="ny20067252x1_def14a_114-other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OM"/>
      <w:bookmarkEnd w:id="69"/>
      <w:r>
        <w:rPr>
          <w:rFonts w:ascii="Times New Roman;Times;serif" w:hAnsi="Times New Roman;Times;serif"/>
          <w:b/>
          <w:color w:val="000000"/>
          <w:sz w:val="20"/>
        </w:rPr>
        <w:t xml:space="preserve">OTHER MATTERS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Proposals and Director Nominations for Next Year’s Annual General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 14a-8 of the Exchange Act, shareholders who wish to submit proposals for inclusion in the proxy statement for the 2027 Annual General Meeting of Shareholders must send such proposals to our Corporate Secretary at the address set forth on the first page of this Proxy Statement. Such proposals must be received by us as of the close of business (6:00 p.m. Central European Time) on December 22, 2026 and must comply with Rule 14a-8 of the Exchange Act. The submission of a shareholder proposal does not guarantee that it will be included in the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set forth in our MAA, if a shareholder intends to make a nomination for director election or present a proposal for other business (other than pursuant to Rule 14a-8 of the Exchange Act) at the 2027 Annual General Meeting of Shareholders, the shareholder’s notice must be received by our Corporate Secretary at the address set forth on the first page of this Proxy Statement no earlier than the 120th day and no later than the 90th day before the anniversary of the last annual general meeting; provided, however, that if the date of the annual general meeting is more than 30 days before or after such anniversary date, the shareholder’s notice must be delivered not later than the later of (x) the close of business on the 90th day prior to such annual general meeting and (y) if the first public announcement of the date of such meeting is less than 100 days prior to the meeting, 10 days following the date of the first public announcement of the meeting date. Therefore, unless the 2027 Annual General Meeting of Shareholders is more than 30 days before or after the anniversary of the Annual Meeting, notice of proposed nominations or proposals (other than pursuant to Rule 14a-8 of the Exchange Act) must be received by our Corporate Secretary no earlier than February 4, 2027 and no later than the close of business (6:00 p.m. Central European Time) on March 6, 2027. Any such director nomination or shareholder proposal must be a proper matter for shareholder action and must comply with the terms and conditions set forth in our MAA. If a shareholder fails to meet these deadlines or fails to satisfy the requirements of Rule 14a-4 of the Exchange Act, we may exercise discretionary voting authority under proxies we solicit to vote on any such proposal as we determine appropriate. In addition to satisfying the deadlines in the advance notice provisions of our MAA, a shareholder who intends to solicit proxies in support of nominees submitted under these advance notice provisions for the 2027 Annual General Meeting of Shareholders must provide the notice required under Rule 14a-19 of the Exchange Act to our Corporate Secretary in writing not later than the close of business (6:00 p.m. Central European Time) on April 5, 2027. We reserve the right to reject, rule out of order or take other appropriate action with respect to any nomination or proposal that does not comply with these and other applicable requirements.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Delivery of Documents to Shareholders Sharing an Address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number of brokerage firms have adopted a procedure approved by the SEC called “householding”. Under this procedure, certain shareholders who have the same address and do not participate in electronic delivery of proxy materials will receive only one copy of the proxy materials, including this Proxy Statement, the Notice and our Annual Report on Form 10-K for the year ended December 31, 2025, until such time as one or more of these shareholders notifies us that they wish to receive individual copies. This procedure helps to reduce duplicate mailings and save printing costs and postage fees, as well as natural resources. If you received a “householding” mailing this year and would like to have additional copies of the proxy materials mailed to you, please send a written request to our Corporate Secretary at the address set forth on the first page of this Proxy Statement, or call 41-41-510-8022, and we will promptly deliver the proxy materials to you. Please contact your broker if you received multiple copies of the proxy materials and would prefer to receive a single copy in the future, or if you would like to opt out of “householding” for future mailings.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Availability of Additional Information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We will provide, free of charge, a copy of our Annual Report on Form 10-K for the year ended December 31, 2025, including exhibits, on the written or oral request of any shareholder of the Company. </w:t>
      </w:r>
      <w:r>
        <w:rPr>
          <w:rFonts w:ascii="Times New Roman;Times;serif" w:hAnsi="Times New Roman;Times;serif"/>
          <w:b w:val="false"/>
          <w:color w:val="000000"/>
          <w:sz w:val="20"/>
        </w:rPr>
        <w:t xml:space="preserve">Please send a written request to our Corporate Secretary at the address set forth on the first page of this Proxy Statement, or call the number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0" w:name="ny20067252x1_def14a_200-appa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APPA"/>
      <w:bookmarkEnd w:id="71"/>
      <w:r>
        <w:rPr>
          <w:rFonts w:ascii="Times New Roman;Times;serif" w:hAnsi="Times New Roman;Times;serif"/>
          <w:b/>
          <w:color w:val="000000"/>
          <w:sz w:val="20"/>
        </w:rPr>
        <w:t xml:space="preserve">APPENDIX A: MOONLAKE IMMUNOTHERAPEUTICS AMENDED AND RESTATED 2022 EQUITY INCENTIVE PLAN </w:t>
      </w:r>
    </w:p>
    <w:tbl>
      <w:tblPr>
        <w:tblW w:w="1015" w:type="dxa"/>
        <w:jc w:val="left"/>
        <w:tblInd w:w="0" w:type="dxa"/>
        <w:tblLayout w:type="fixed"/>
        <w:tblCellMar>
          <w:top w:w="0" w:type="dxa"/>
          <w:left w:w="0" w:type="dxa"/>
          <w:bottom w:w="0" w:type="dxa"/>
          <w:right w:w="0" w:type="dxa"/>
        </w:tblCellMar>
      </w:tblPr>
      <w:tblGrid>
        <w:gridCol w:w="200"/>
        <w:gridCol w:w="81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Purpose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of this MoonLake Immunotherapeutics 2022 Amended and Restated Equity Incentive Plan (the “</w:t>
      </w:r>
      <w:r>
        <w:rPr>
          <w:rFonts w:ascii="Times New Roman;Times;serif" w:hAnsi="Times New Roman;Times;serif"/>
          <w:b/>
          <w:i/>
          <w:color w:val="000000"/>
          <w:sz w:val="20"/>
        </w:rPr>
        <w:t>Plan</w:t>
      </w:r>
      <w:r>
        <w:rPr>
          <w:rFonts w:ascii="Times New Roman;Times;serif" w:hAnsi="Times New Roman;Times;serif"/>
          <w:color w:val="000000"/>
          <w:sz w:val="20"/>
        </w:rPr>
        <w:t xml:space="preserve">”) is to promote and closely align the interests of employees, officers, non-employee directors and other service providers of MoonLake Immunotherapeutics and its shareholders by providing share-based compensation and other performance-based compensation. The objectives of the Plan are to attract and retain the best available employees for positions of substantial responsibility and to motivate Participants to optimize the profitability and growth of the Company through incentives that are consistent with the Company’s goals and that link the personal interests of Participants to those of the Company’s shareholders. The Plan provides for the grant of Options, Stock Appreciation Rights, Restricted Stock Units, Restricted Stock and Other Share-Based Awards and for Incentive Bonuses, which may be paid in cash, Common Shares or a combination thereof, as determined by the Committee. </w:t>
      </w:r>
    </w:p>
    <w:tbl>
      <w:tblPr>
        <w:tblW w:w="1240" w:type="dxa"/>
        <w:jc w:val="left"/>
        <w:tblInd w:w="0" w:type="dxa"/>
        <w:tblLayout w:type="fixed"/>
        <w:tblCellMar>
          <w:top w:w="0" w:type="dxa"/>
          <w:left w:w="0" w:type="dxa"/>
          <w:bottom w:w="0" w:type="dxa"/>
          <w:right w:w="0" w:type="dxa"/>
        </w:tblCellMar>
      </w:tblPr>
      <w:tblGrid>
        <w:gridCol w:w="200"/>
        <w:gridCol w:w="104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0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 Plan, the following terms shall have the meanings set forth below: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i/>
          <w:color w:val="000000"/>
          <w:sz w:val="20"/>
        </w:rPr>
        <w:t>Act</w:t>
      </w:r>
      <w:r>
        <w:rPr>
          <w:rFonts w:ascii="Times New Roman;Times;serif" w:hAnsi="Times New Roman;Times;serif"/>
          <w:color w:val="000000"/>
          <w:sz w:val="20"/>
        </w:rPr>
        <w:t xml:space="preserve">” means the U.S. Securities Exchange Act of 1934, as amended.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i/>
          <w:color w:val="000000"/>
          <w:sz w:val="20"/>
        </w:rPr>
        <w:t>Affiliate</w:t>
      </w:r>
      <w:r>
        <w:rPr>
          <w:rFonts w:ascii="Times New Roman;Times;serif" w:hAnsi="Times New Roman;Times;serif"/>
          <w:color w:val="000000"/>
          <w:sz w:val="20"/>
        </w:rPr>
        <w:t xml:space="preserve">” means any entity in which the Company has a substantial direct or indirect equity interest, as determined by the Committee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i/>
          <w:color w:val="000000"/>
          <w:sz w:val="20"/>
        </w:rPr>
        <w:t>Award</w:t>
      </w:r>
      <w:r>
        <w:rPr>
          <w:rFonts w:ascii="Times New Roman;Times;serif" w:hAnsi="Times New Roman;Times;serif"/>
          <w:color w:val="000000"/>
          <w:sz w:val="20"/>
        </w:rPr>
        <w:t xml:space="preserve">” means an Option, Stock Appreciation Right, Restricted Stock Unit, Restricted Stock, Other Share-Based Award or Incentive Bonus granted to a Participant pursuant to the provisions of the Plan, any of which may be subject to performance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i/>
          <w:color w:val="000000"/>
          <w:sz w:val="20"/>
        </w:rPr>
        <w:t>Award Agreement</w:t>
      </w:r>
      <w:r>
        <w:rPr>
          <w:rFonts w:ascii="Times New Roman;Times;serif" w:hAnsi="Times New Roman;Times;serif"/>
          <w:color w:val="000000"/>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i/>
          <w:color w:val="000000"/>
          <w:sz w:val="20"/>
        </w:rPr>
        <w:t>Beneficial Owner</w:t>
      </w:r>
      <w:r>
        <w:rPr>
          <w:rFonts w:ascii="Times New Roman;Times;serif" w:hAnsi="Times New Roman;Times;serif"/>
          <w:color w:val="000000"/>
          <w:sz w:val="20"/>
        </w:rPr>
        <w:t xml:space="preserve">” shall have the meaning set forth in Rule 13d-3 under the Act.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i/>
          <w:color w:val="000000"/>
          <w:sz w:val="20"/>
        </w:rPr>
        <w:t>Board</w:t>
      </w:r>
      <w:r>
        <w:rPr>
          <w:rFonts w:ascii="Times New Roman;Times;serif" w:hAnsi="Times New Roman;Times;serif"/>
          <w:color w:val="000000"/>
          <w:sz w:val="20"/>
        </w:rPr>
        <w:t xml:space="preserve">” means the Board of Directors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b/>
          <w:i/>
          <w:color w:val="000000"/>
          <w:sz w:val="20"/>
        </w:rPr>
        <w:t>Cause</w:t>
      </w:r>
      <w:r>
        <w:rPr>
          <w:rFonts w:ascii="Times New Roman;Times;serif" w:hAnsi="Times New Roman;Times;serif"/>
          <w:color w:val="000000"/>
          <w:sz w:val="20"/>
        </w:rPr>
        <w:t xml:space="preserve">” has the meaning set forth in the written employment, offer, services or severance agreement or letter between the Participant and the Company or an Affiliate, or, if there is no such agreement or no such term is defined in such agreement, means a Participant’s Termination of Employment by the Company or an Affiliate by reason of (i) the Participant’s material breach of any agreement between the Participant and the Company or an Affiliate or any policy of the Company of an Affiliate; (ii) the willful failure or refusal by the Participant to substantially perform his or her duties; (iii) the commission or conviction of the Participant of, or the entering of a plea of nolo contendere by the Participant with respect to, (A) a felony or (B) a misdemeanor involving moral turpitude; or (iv) the Participant’s gross misconduct that causes harm to the reputation of the Company. A Participant’s employment or service will be deemed to have been terminated for Cause if it is determined subsequent to such Participant’s Termination of Employment that grounds for a Termination of Employment for Cause existed at the time of such Termination of Employment, as determined by the Committee.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b/>
          <w:i/>
          <w:color w:val="000000"/>
          <w:sz w:val="20"/>
        </w:rPr>
        <w:t>Change in Control</w:t>
      </w:r>
      <w:r>
        <w:rPr>
          <w:rFonts w:ascii="Times New Roman;Times;serif" w:hAnsi="Times New Roman;Times;serif"/>
          <w:color w:val="000000"/>
          <w:sz w:val="20"/>
        </w:rPr>
        <w:t xml:space="preserve">” means, except as otherwise provided in an Award Agreement, the occurrence of any one of the following: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Person is or becomes the Beneficial Owner, directly or indirectly, of securities of the Company (not including in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Times;serif" w:hAnsi="Times New Roman;Times;serif"/>
          <w:color w:val="000000"/>
          <w:sz w:val="20"/>
          <w:u w:val="single"/>
        </w:rPr>
        <w:t>Section 2(h)(iii)</w:t>
      </w:r>
      <w:r>
        <w:rPr>
          <w:rFonts w:ascii="Times New Roman;Times;serif" w:hAnsi="Times New Roman;Times;serif"/>
          <w:color w:val="000000"/>
          <w:sz w:val="20"/>
        </w:rPr>
        <w:t xml:space="preserve"> below;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72" w:name="ny20067252x1_def14a_200-appa_pg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threatened election contest, including a consent solicitation, relating to the election of directors of the Company) whose appointment or election by the Board or nomination for election by the Company’s shareholders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(iii) there is consummated a merger or consolidation of the Company or any direct or indirect subsidiary of the Company with any other corporation, other than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(iv) the implementation of a plan of complete liquidation or dissolution of the Company;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shareholders of the Company in substantially the same proportions as their ownership of the Company immediately prior to such sale.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i/>
          <w:color w:val="000000"/>
          <w:sz w:val="20"/>
        </w:rPr>
        <w:t>Class A Shares</w:t>
      </w:r>
      <w:r>
        <w:rPr>
          <w:rFonts w:ascii="Times New Roman;Times;serif" w:hAnsi="Times New Roman;Times;serif"/>
          <w:color w:val="000000"/>
          <w:sz w:val="20"/>
        </w:rPr>
        <w:t xml:space="preserve">” means the Class A ordinary shares of the Company, $0.0001 par value per share.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i/>
          <w:color w:val="000000"/>
          <w:sz w:val="20"/>
        </w:rPr>
        <w:t>Code</w:t>
      </w:r>
      <w:r>
        <w:rPr>
          <w:rFonts w:ascii="Times New Roman;Times;serif" w:hAnsi="Times New Roman;Times;serif"/>
          <w:color w:val="000000"/>
          <w:sz w:val="20"/>
        </w:rPr>
        <w:t xml:space="preserve">” means the U.S. Internal Revenue Code of 1986, as amended from time to time, and the rulings and regulations issued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b/>
          <w:i/>
          <w:color w:val="000000"/>
          <w:sz w:val="20"/>
        </w:rPr>
        <w:t>Committee</w:t>
      </w:r>
      <w:r>
        <w:rPr>
          <w:rFonts w:ascii="Times New Roman;Times;serif" w:hAnsi="Times New Roman;Times;serif"/>
          <w:color w:val="000000"/>
          <w:sz w:val="20"/>
        </w:rPr>
        <w:t xml:space="preserve">” means the Compensation Committee of the Board (or any successor committee) or such other committee as designated by the Board to administer the Plan under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b/>
          <w:i/>
          <w:color w:val="000000"/>
          <w:sz w:val="20"/>
        </w:rPr>
        <w:t>Common Share</w:t>
      </w:r>
      <w:r>
        <w:rPr>
          <w:rFonts w:ascii="Times New Roman;Times;serif" w:hAnsi="Times New Roman;Times;serif"/>
          <w:color w:val="000000"/>
          <w:sz w:val="20"/>
        </w:rPr>
        <w:t xml:space="preserve">” means the Class A Shares, or such other class or kind of shares or other securities as may be applicable under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b/>
          <w:i/>
          <w:color w:val="000000"/>
          <w:sz w:val="20"/>
        </w:rPr>
        <w:t>Company</w:t>
      </w:r>
      <w:r>
        <w:rPr>
          <w:rFonts w:ascii="Times New Roman;Times;serif" w:hAnsi="Times New Roman;Times;serif"/>
          <w:color w:val="000000"/>
          <w:sz w:val="20"/>
        </w:rPr>
        <w:t xml:space="preserve">” means MoonLake Immunotherapeutics, a Cayman Islands exempted company, and except as utilized in the definition of Change in Control, any successor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b/>
          <w:i/>
          <w:color w:val="000000"/>
          <w:sz w:val="20"/>
        </w:rPr>
        <w:t>Disability</w:t>
      </w:r>
      <w:r>
        <w:rPr>
          <w:rFonts w:ascii="Times New Roman;Times;serif" w:hAnsi="Times New Roman;Times;serif"/>
          <w:color w:val="000000"/>
          <w:sz w:val="20"/>
        </w:rPr>
        <w:t xml:space="preserve">” has the meaning set forth in a written employment, offer, services or severance agreement or letter between the Participant and the Company or an Affiliate, or, if there is no such agreement or no such term is defined in such agreement,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b/>
          <w:i/>
          <w:color w:val="000000"/>
          <w:sz w:val="20"/>
        </w:rPr>
        <w:t>Dividend Equivalent</w:t>
      </w:r>
      <w:r>
        <w:rPr>
          <w:rFonts w:ascii="Times New Roman;Times;serif" w:hAnsi="Times New Roman;Times;serif"/>
          <w:color w:val="000000"/>
          <w:sz w:val="20"/>
        </w:rPr>
        <w:t xml:space="preserve">” mean an amount payable in cash or Common Shares, as determined by the Committee, equal to the dividends that would have been paid to the Participant if the Common Share with respect to which the Dividend Equivalent relates had been owned by the Participant.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b/>
          <w:i/>
          <w:color w:val="000000"/>
          <w:sz w:val="20"/>
        </w:rPr>
        <w:t>Effective Date</w:t>
      </w:r>
      <w:r>
        <w:rPr>
          <w:rFonts w:ascii="Times New Roman;Times;serif" w:hAnsi="Times New Roman;Times;serif"/>
          <w:color w:val="000000"/>
          <w:sz w:val="20"/>
        </w:rPr>
        <w:t xml:space="preserve">” means the date on which the Plan takes effect, as defined pursuant to </w:t>
      </w:r>
      <w:r>
        <w:rPr>
          <w:rFonts w:ascii="Times New Roman;Times;serif" w:hAnsi="Times New Roman;Times;serif"/>
          <w:color w:val="000000"/>
          <w:sz w:val="20"/>
          <w:u w:val="single"/>
        </w:rPr>
        <w:t>Section 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b/>
          <w:i/>
          <w:color w:val="000000"/>
          <w:sz w:val="20"/>
        </w:rPr>
        <w:t>Eligible Person</w:t>
      </w:r>
      <w:r>
        <w:rPr>
          <w:rFonts w:ascii="Times New Roman;Times;serif" w:hAnsi="Times New Roman;Times;serif"/>
          <w:color w:val="000000"/>
          <w:sz w:val="20"/>
        </w:rPr>
        <w:t xml:space="preserve">” means any current or prospective employee, officer, non-employee director or other service provider of the Company or any of its Subsidiaries; provided however that Incentive Stock Options may only be granted to employees of the Company or any of its “subsidiary corporations” within the meaning of Section 424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b/>
          <w:i/>
          <w:color w:val="000000"/>
          <w:sz w:val="20"/>
        </w:rPr>
        <w:t>Fair Market Value</w:t>
      </w:r>
      <w:r>
        <w:rPr>
          <w:rFonts w:ascii="Times New Roman;Times;serif" w:hAnsi="Times New Roman;Times;serif"/>
          <w:color w:val="000000"/>
          <w:sz w:val="20"/>
        </w:rPr>
        <w:t xml:space="preserve">” means as of any date, the value of a Common Share determined as follows: (i) if the Common Share is listed on any established stock exchange, system or market, its Fair Market Value shall be the closing price for the Common Share as quoted on such exchange, system or market as reported in the Wall Street Journal or such other source as the Committee deems reliable (or, if no sale of Common Share is reported for such date, on the next preceding date on which any sale shall have been reported); and (ii) in the absence of an established market for the Common Share, the Fair Market Value thereof shall be determined in good faith by the Committee by the reasonable application of a reasonable valuation method, taking into account factors consistent with Treas. Reg. § 409A-1(b)(5)(iv)(B) as the Committee deems appropriate.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73" w:name="ny20067252x1_def14a_200-appa_pg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b/>
          <w:i/>
          <w:color w:val="000000"/>
          <w:sz w:val="20"/>
        </w:rPr>
        <w:t>Incentive Bonus</w:t>
      </w:r>
      <w:r>
        <w:rPr>
          <w:rFonts w:ascii="Times New Roman;Times;serif" w:hAnsi="Times New Roman;Times;serif"/>
          <w:color w:val="000000"/>
          <w:sz w:val="20"/>
        </w:rPr>
        <w:t xml:space="preserve">” means a bonus opportunity awarded under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b/>
          <w:i/>
          <w:color w:val="000000"/>
          <w:sz w:val="20"/>
        </w:rPr>
        <w:t>Incentive Stock Option</w:t>
      </w:r>
      <w:r>
        <w:rPr>
          <w:rFonts w:ascii="Times New Roman;Times;serif" w:hAnsi="Times New Roman;Times;serif"/>
          <w:color w:val="000000"/>
          <w:sz w:val="20"/>
        </w:rPr>
        <w:t xml:space="preserve">” means an Option that is intended to qualify as an “incentive stock option” within the meaning of Section 422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b/>
          <w:i/>
          <w:color w:val="000000"/>
          <w:sz w:val="20"/>
        </w:rPr>
        <w:t>Nonqualified Stock Option</w:t>
      </w:r>
      <w:r>
        <w:rPr>
          <w:rFonts w:ascii="Times New Roman;Times;serif" w:hAnsi="Times New Roman;Times;serif"/>
          <w:color w:val="000000"/>
          <w:sz w:val="20"/>
        </w:rPr>
        <w:t xml:space="preserve">” means an Option that is not intended to qualify as an “incentive stock option” within the meaning of Section 422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i/>
          <w:color w:val="000000"/>
          <w:sz w:val="20"/>
        </w:rPr>
        <w:t>Option</w:t>
      </w:r>
      <w:r>
        <w:rPr>
          <w:rFonts w:ascii="Times New Roman;Times;serif" w:hAnsi="Times New Roman;Times;serif"/>
          <w:color w:val="000000"/>
          <w:sz w:val="20"/>
        </w:rPr>
        <w:t xml:space="preserve">” means a right to purchase a number of Common Shares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b/>
          <w:i/>
          <w:color w:val="000000"/>
          <w:sz w:val="20"/>
        </w:rPr>
        <w:t>Other Share-Based Award</w:t>
      </w:r>
      <w:r>
        <w:rPr>
          <w:rFonts w:ascii="Times New Roman;Times;serif" w:hAnsi="Times New Roman;Times;serif"/>
          <w:color w:val="000000"/>
          <w:sz w:val="20"/>
        </w:rPr>
        <w:t xml:space="preserve">” means an Award granted to an Eligible Person under </w:t>
      </w: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i/>
          <w:color w:val="000000"/>
          <w:sz w:val="20"/>
        </w:rPr>
        <w:t>Participant</w:t>
      </w:r>
      <w:r>
        <w:rPr>
          <w:rFonts w:ascii="Times New Roman;Times;serif" w:hAnsi="Times New Roman;Times;serif"/>
          <w:color w:val="000000"/>
          <w:sz w:val="20"/>
        </w:rPr>
        <w:t xml:space="preserve">” means any Eligible Person to whom Awards have been granted from time to time by the Committee and any authorized transferee of such individual.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b/>
          <w:i/>
          <w:color w:val="000000"/>
          <w:sz w:val="20"/>
        </w:rPr>
        <w:t>Person</w:t>
      </w:r>
      <w:r>
        <w:rPr>
          <w:rFonts w:ascii="Times New Roman;Times;serif" w:hAnsi="Times New Roman;Times;serif"/>
          <w:color w:val="000000"/>
          <w:sz w:val="20"/>
        </w:rPr>
        <w:t xml:space="preserve">” shall have the meaning given in Section 3(a)(9) of the Act, as modified and used in </w:t>
      </w:r>
      <w:r>
        <w:rPr>
          <w:rFonts w:ascii="Times New Roman;Times;serif" w:hAnsi="Times New Roman;Times;serif"/>
          <w:color w:val="000000"/>
          <w:sz w:val="20"/>
          <w:u w:val="single"/>
        </w:rPr>
        <w:t>Sections 14(d)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15(d)</w:t>
      </w:r>
      <w:r>
        <w:rPr>
          <w:rFonts w:ascii="Times New Roman;Times;serif" w:hAnsi="Times New Roman;Times;serif"/>
          <w:color w:val="000000"/>
          <w:sz w:val="20"/>
        </w:rPr>
        <w:t xml:space="preserve">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shares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b/>
          <w:i/>
          <w:color w:val="000000"/>
          <w:sz w:val="20"/>
        </w:rPr>
        <w:t>Restricted Stock</w:t>
      </w:r>
      <w:r>
        <w:rPr>
          <w:rFonts w:ascii="Times New Roman;Times;serif" w:hAnsi="Times New Roman;Times;serif"/>
          <w:color w:val="000000"/>
          <w:sz w:val="20"/>
        </w:rPr>
        <w:t xml:space="preserve">” means an Award or issuance of Common Shares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b/>
          <w:i/>
          <w:color w:val="000000"/>
          <w:sz w:val="20"/>
        </w:rPr>
        <w:t>Restricted Stock Unit</w:t>
      </w:r>
      <w:r>
        <w:rPr>
          <w:rFonts w:ascii="Times New Roman;Times;serif" w:hAnsi="Times New Roman;Times;serif"/>
          <w:color w:val="000000"/>
          <w:sz w:val="20"/>
        </w:rPr>
        <w:t xml:space="preserve">” means an Award denominated in units of Common Shares under which the issuance of Common Shares (or cash payment in lieu thereof) is subject to such conditions (including continued employment or engagement or performance conditions) and terms as the Committee deems appropriate.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b/>
          <w:i/>
          <w:color w:val="000000"/>
          <w:sz w:val="20"/>
        </w:rPr>
        <w:t>Separation from Service</w:t>
      </w:r>
      <w:r>
        <w:rPr>
          <w:rFonts w:ascii="Times New Roman;Times;serif" w:hAnsi="Times New Roman;Times;serif"/>
          <w:color w:val="000000"/>
          <w:sz w:val="20"/>
        </w:rPr>
        <w:t>” or “</w:t>
      </w:r>
      <w:r>
        <w:rPr>
          <w:rFonts w:ascii="Times New Roman;Times;serif" w:hAnsi="Times New Roman;Times;serif"/>
          <w:b/>
          <w:i/>
          <w:color w:val="000000"/>
          <w:sz w:val="20"/>
        </w:rPr>
        <w:t>Separates from Service</w:t>
      </w:r>
      <w:r>
        <w:rPr>
          <w:rFonts w:ascii="Times New Roman;Times;serif" w:hAnsi="Times New Roman;Times;serif"/>
          <w:color w:val="000000"/>
          <w:sz w:val="20"/>
        </w:rPr>
        <w:t xml:space="preserve">” means a Termination of Employment that constitutes a “separation from service” within the meaning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b/>
          <w:i/>
          <w:color w:val="000000"/>
          <w:sz w:val="20"/>
        </w:rPr>
        <w:t>Stock Appreciation Right</w:t>
      </w:r>
      <w:r>
        <w:rPr>
          <w:rFonts w:ascii="Times New Roman;Times;serif" w:hAnsi="Times New Roman;Times;serif"/>
          <w:color w:val="000000"/>
          <w:sz w:val="20"/>
        </w:rPr>
        <w:t>” or “</w:t>
      </w:r>
      <w:r>
        <w:rPr>
          <w:rFonts w:ascii="Times New Roman;Times;serif" w:hAnsi="Times New Roman;Times;serif"/>
          <w:b/>
          <w:i/>
          <w:color w:val="000000"/>
          <w:sz w:val="20"/>
        </w:rPr>
        <w:t>SAR</w:t>
      </w:r>
      <w:r>
        <w:rPr>
          <w:rFonts w:ascii="Times New Roman;Times;serif" w:hAnsi="Times New Roman;Times;serif"/>
          <w:color w:val="000000"/>
          <w:sz w:val="20"/>
        </w:rPr>
        <w:t xml:space="preserve">” means a right granted that entitles the Participant to receive, in cash or Common Shares or a combination thereof, as determined by the Committee, value equal to the excess of (i) the Fair Market Value of a specified number of Common Shares at the time of exercise over (ii) the exercise price of the right, as established by the Committee on the date of grant.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b/>
          <w:i/>
          <w:color w:val="000000"/>
          <w:sz w:val="20"/>
        </w:rPr>
        <w:t>Subsidiary</w:t>
      </w:r>
      <w:r>
        <w:rPr>
          <w:rFonts w:ascii="Times New Roman;Times;serif" w:hAnsi="Times New Roman;Times;serif"/>
          <w:color w:val="000000"/>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shares or partnership interests) possessing 50% or more of the total combined voting power of all classes of equity interests in one of the other associations in such chain.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(ee) “</w:t>
      </w:r>
      <w:r>
        <w:rPr>
          <w:rFonts w:ascii="Times New Roman;Times;serif" w:hAnsi="Times New Roman;Times;serif"/>
          <w:b/>
          <w:i/>
          <w:color w:val="000000"/>
          <w:sz w:val="20"/>
        </w:rPr>
        <w:t>Substitute Awards</w:t>
      </w:r>
      <w:r>
        <w:rPr>
          <w:rFonts w:ascii="Times New Roman;Times;serif" w:hAnsi="Times New Roman;Times;serif"/>
          <w:color w:val="000000"/>
          <w:sz w:val="20"/>
        </w:rPr>
        <w:t xml:space="preserve">” means Awards granted or Common Shares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(ff) “</w:t>
      </w:r>
      <w:r>
        <w:rPr>
          <w:rFonts w:ascii="Times New Roman;Times;serif" w:hAnsi="Times New Roman;Times;serif"/>
          <w:b/>
          <w:i/>
          <w:color w:val="000000"/>
          <w:sz w:val="20"/>
        </w:rPr>
        <w:t>Termination of Employment</w:t>
      </w:r>
      <w:r>
        <w:rPr>
          <w:rFonts w:ascii="Times New Roman;Times;serif" w:hAnsi="Times New Roman;Times;serif"/>
          <w:color w:val="000000"/>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(or another capacity as a service provider) shall constitute continued employment with respect to Awards granted to a Participant while he or she served as an employee, (iv) service as an employee of the Company or a Subsidiary shall constitute continued employment with respect to Awards granted to a Participant while he or she served as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bidi w:val="0"/>
        <w:spacing w:before="200" w:after="200"/>
        <w:jc w:val="left"/>
        <w:rPr/>
      </w:pPr>
      <w:r>
        <w:rPr/>
      </w:r>
    </w:p>
    <w:p>
      <w:pPr>
        <w:pStyle w:val="TextBody"/>
        <w:bidi w:val="0"/>
        <w:jc w:val="left"/>
        <w:rPr/>
      </w:pPr>
      <w:hyperlink w:anchor="TOC">
        <w:bookmarkStart w:id="74" w:name="ny20067252x1_def14a_200-appa_pg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tbl>
      <w:tblPr>
        <w:tblW w:w="1195" w:type="dxa"/>
        <w:jc w:val="left"/>
        <w:tblInd w:w="0" w:type="dxa"/>
        <w:tblLayout w:type="fixed"/>
        <w:tblCellMar>
          <w:top w:w="0" w:type="dxa"/>
          <w:left w:w="0" w:type="dxa"/>
          <w:bottom w:w="0" w:type="dxa"/>
          <w:right w:w="0" w:type="dxa"/>
        </w:tblCellMar>
      </w:tblPr>
      <w:tblGrid>
        <w:gridCol w:w="200"/>
        <w:gridCol w:w="99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Eligibility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Eligible Person is eligible for selection by the Committee to receive an Award. </w:t>
      </w:r>
    </w:p>
    <w:tbl>
      <w:tblPr>
        <w:tblW w:w="3595" w:type="dxa"/>
        <w:jc w:val="left"/>
        <w:tblInd w:w="0" w:type="dxa"/>
        <w:tblLayout w:type="fixed"/>
        <w:tblCellMar>
          <w:top w:w="0" w:type="dxa"/>
          <w:left w:w="0" w:type="dxa"/>
          <w:bottom w:w="0" w:type="dxa"/>
          <w:right w:w="0" w:type="dxa"/>
        </w:tblCellMar>
      </w:tblPr>
      <w:tblGrid>
        <w:gridCol w:w="155"/>
        <w:gridCol w:w="3440"/>
      </w:tblGrid>
      <w:tr>
        <w:trPr/>
        <w:tc>
          <w:tcPr>
            <w:tcW w:w="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4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Date and Termination of Plan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Plan, as most recently amended and restated, was approved by the Board on April 17, 2026 and will become effective on the date it is approved by the shareholders of the Company (the “</w:t>
      </w:r>
      <w:r>
        <w:rPr>
          <w:rFonts w:ascii="Times New Roman;Times;serif" w:hAnsi="Times New Roman;Times;serif"/>
          <w:b/>
          <w:i/>
          <w:color w:val="000000"/>
          <w:sz w:val="20"/>
        </w:rPr>
        <w:t>Effective Date</w:t>
      </w:r>
      <w:r>
        <w:rPr>
          <w:rFonts w:ascii="Times New Roman;Times;serif" w:hAnsi="Times New Roman;Times;serif"/>
          <w:color w:val="000000"/>
          <w:sz w:val="20"/>
        </w:rPr>
        <w:t xml:space="preserve">”). The Plan shall remain available for the grant of Awards until the 10th anniversary of the Effective Date; provided, however, that Incentive Stock Options may not be granted under the Plan after the 10th anniversary of the date of the Board’s approval of the Plan. Notwithstanding the foregoing, the Plan may be terminated at such earlier time as the Board may determine. Termination of the Plan will not affect the rights and obligations of the Participants and the Company arising under Awards theretofore granted. </w:t>
      </w:r>
    </w:p>
    <w:tbl>
      <w:tblPr>
        <w:tblW w:w="3760" w:type="dxa"/>
        <w:jc w:val="left"/>
        <w:tblInd w:w="0" w:type="dxa"/>
        <w:tblLayout w:type="fixed"/>
        <w:tblCellMar>
          <w:top w:w="0" w:type="dxa"/>
          <w:left w:w="0" w:type="dxa"/>
          <w:bottom w:w="0" w:type="dxa"/>
          <w:right w:w="0" w:type="dxa"/>
        </w:tblCellMar>
      </w:tblPr>
      <w:tblGrid>
        <w:gridCol w:w="200"/>
        <w:gridCol w:w="356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35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Shares Subject to the Plan and to Awards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Aggregate Limits</w:t>
      </w:r>
      <w:r>
        <w:rPr>
          <w:rFonts w:ascii="Times New Roman;Times;serif" w:hAnsi="Times New Roman;Times;serif"/>
          <w:color w:val="000000"/>
          <w:sz w:val="20"/>
        </w:rPr>
        <w:t xml:space="preserve">. The aggregate number of Common Shares issuable under the Plan shall be equal to 9,353,948. The aggregate number of Common Shares available for grant under this Plan and the number of Common Shares subject to Awards outstanding at the time of any event described in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shall be subject to adjustment as provided in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The Common Shares issued pursuant to Awards granted under this Plan may be shares that are authorized and unissued or shares that were reacquired by the Company, including shares purchased in the open market.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Issuance of Shares</w:t>
      </w:r>
      <w:r>
        <w:rPr>
          <w:rFonts w:ascii="Times New Roman;Times;serif" w:hAnsi="Times New Roman;Times;serif"/>
          <w:color w:val="000000"/>
          <w:sz w:val="20"/>
        </w:rPr>
        <w:t xml:space="preserve">. For purposes of </w:t>
      </w:r>
      <w:r>
        <w:rPr>
          <w:rFonts w:ascii="Times New Roman;Times;serif" w:hAnsi="Times New Roman;Times;serif"/>
          <w:color w:val="000000"/>
          <w:sz w:val="20"/>
          <w:u w:val="single"/>
        </w:rPr>
        <w:t>Section 5(a)</w:t>
      </w:r>
      <w:r>
        <w:rPr>
          <w:rFonts w:ascii="Times New Roman;Times;serif" w:hAnsi="Times New Roman;Times;serif"/>
          <w:color w:val="000000"/>
          <w:sz w:val="20"/>
        </w:rPr>
        <w:t xml:space="preserve">, the aggregate number of Common Shares issued under this Plan at any time shall equal only the number of Common Shares actually issued upon exercise or settlement of an Award. Common Shares subject to Awards that have been canceled, expired, forfeited or otherwise not issued under an Award and Common Shares subject to Awards settled in cash shall not count as Common Shares issued under this Plan. The aggregate number of shares available for issuance under this Plan at any time shall not be reduced by (i) shares subject to Awards that have been terminated, expired unexercised, forfeited or settled in cash or (ii) shares subject to Awards that otherwise do not result in the issuance of shares in connection with payment or settlement thereof. Notwithstanding the foregoing, shares subject to an Award granted under this Plan may not again be made available for issuance under this Plan if such shares are: (x) shares that were subject to a stock-settled Stock Appreciation Right and were not issued upon the net settlement or net exercise of such Stock Appreciation Right, (y) shares that have been delivered (either actually or by attestation) to, or retained or withheld by, the Company in payment or satisfaction of the exercise price, purchase price or tax withholding obligation of an Award, or (z) shares that have been repurchased on the open market with the proceeds of an Option exercise.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Substitute Awards</w:t>
      </w:r>
      <w:r>
        <w:rPr>
          <w:rFonts w:ascii="Times New Roman;Times;serif" w:hAnsi="Times New Roman;Times;serif"/>
          <w:color w:val="000000"/>
          <w:sz w:val="20"/>
        </w:rPr>
        <w:t xml:space="preserve">. Substitute Awards shall not reduce the Common Shares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Share of the entities party to such acquisition or combination) may be used for Awards under the Plan and shall not reduce the Common Shares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employees of such acquired or combined company before such acquisition or combination, and (iii) shall comply with the requirements of any stock exchange or market or quotation system on which the Common Share is traded, listed or quoted.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Tax Code Limits</w:t>
      </w:r>
      <w:r>
        <w:rPr>
          <w:rFonts w:ascii="Times New Roman;Times;serif" w:hAnsi="Times New Roman;Times;serif"/>
          <w:color w:val="000000"/>
          <w:sz w:val="20"/>
        </w:rPr>
        <w:t xml:space="preserve">. The aggregate number of Common Shares that may be issued pursuant to the exercise of Incentive Stock Options granted under this Plan shall be equal to 9,353,948, which number shall be calculated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bidi w:val="0"/>
        <w:spacing w:before="200" w:after="200"/>
        <w:jc w:val="left"/>
        <w:rPr/>
      </w:pPr>
      <w:r>
        <w:rPr/>
      </w:r>
    </w:p>
    <w:p>
      <w:pPr>
        <w:pStyle w:val="TextBody"/>
        <w:bidi w:val="0"/>
        <w:jc w:val="left"/>
        <w:rPr/>
      </w:pPr>
      <w:hyperlink w:anchor="TOC">
        <w:bookmarkStart w:id="75" w:name="ny20067252x1_def14a_200-appa_pg5"/>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adjusted pursuant to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only to the extent that such calculation or adjustment will not affect the status of any Option intended to qualify as an Incentive Stock Option under Section 422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Limits on Non-Employee Director Compensation.</w:t>
      </w:r>
      <w:r>
        <w:rPr>
          <w:rFonts w:ascii="Times New Roman;Times;serif" w:hAnsi="Times New Roman;Times;serif"/>
          <w:color w:val="000000"/>
          <w:sz w:val="20"/>
        </w:rPr>
        <w:t xml:space="preserve"> The aggregate dollar value of equity-based (based on the grant date Fair Market Value of equity-based Awards) and cash compensation granted under this Plan or otherwise during any calendar year to any non-employee director shall not exceed $750,000; provided, however, that in the calendar year in which a non-employee director first joins the Board or during any calendar year in which a non-employee director is designated as Chairperson of the Board or Lead Director, the maximum aggregate dollar value of equity-based and cash compensation granted to the non-employee director may be up to $1,000,000.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i/>
          <w:color w:val="000000"/>
          <w:sz w:val="20"/>
        </w:rPr>
        <w:t>Award Vesting Limitations.</w:t>
      </w:r>
      <w:r>
        <w:rPr>
          <w:rFonts w:ascii="Times New Roman;Times;serif" w:hAnsi="Times New Roman;Times;serif"/>
          <w:color w:val="000000"/>
          <w:sz w:val="20"/>
        </w:rPr>
        <w:t xml:space="preserve"> Notwithstanding any other provision of the Plan to the contrary, Awards granted under the Plan may not become exercisable, vest or be settled, in whole or in part, prior to the one (1) year anniversary of the date of grant except (i) with respect to an Award that is granted in connection with a merger or other acquisition as a substitute or replacement award for awards held by grantees of the acquired business and (ii) with respect to an Award granted to a non-employee director that vests on the earlier of the one-year anniversary of the date of grant and the next annual meeting of shareholders which is at least 50 weeks after the immediately preceding year’s annual meeting; provided, that up to 5% of the aggregate number of Shares authorized for issuance under this Plan (as described in </w:t>
      </w:r>
      <w:r>
        <w:rPr>
          <w:rFonts w:ascii="Times New Roman;Times;serif" w:hAnsi="Times New Roman;Times;serif"/>
          <w:color w:val="000000"/>
          <w:sz w:val="20"/>
          <w:u w:val="single"/>
        </w:rPr>
        <w:t>Section 5(a)</w:t>
      </w:r>
      <w:r>
        <w:rPr>
          <w:rFonts w:ascii="Times New Roman;Times;serif" w:hAnsi="Times New Roman;Times;serif"/>
          <w:color w:val="000000"/>
          <w:sz w:val="20"/>
        </w:rPr>
        <w:t xml:space="preserve">) may be issued pursuant to Awards subject to any, or no, vesting conditions, as the Committee determines appropriate; and, provided, further, that the foregoing restriction does not apply to the Committee’s discretion to provide for accelerated exercisability or vesting of any Award, including in cases of retirement, death, Disability, or a Change in Control, in the terms of the Award or otherwise. </w:t>
      </w:r>
    </w:p>
    <w:tbl>
      <w:tblPr>
        <w:tblW w:w="2560" w:type="dxa"/>
        <w:jc w:val="left"/>
        <w:tblInd w:w="0" w:type="dxa"/>
        <w:tblLayout w:type="fixed"/>
        <w:tblCellMar>
          <w:top w:w="0" w:type="dxa"/>
          <w:left w:w="0" w:type="dxa"/>
          <w:bottom w:w="0" w:type="dxa"/>
          <w:right w:w="0" w:type="dxa"/>
        </w:tblCellMar>
      </w:tblPr>
      <w:tblGrid>
        <w:gridCol w:w="200"/>
        <w:gridCol w:w="236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3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Administration of the Plan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Administrator of the Plan</w:t>
      </w:r>
      <w:r>
        <w:rPr>
          <w:rFonts w:ascii="Times New Roman;Times;serif" w:hAnsi="Times New Roman;Times;serif"/>
          <w:color w:val="000000"/>
          <w:sz w:val="20"/>
        </w:rPr>
        <w:t xml:space="preserve">. The Plan shall be administered by the Committee.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(who are not also directors) the authority to grant Awards, the resolution so authorizing such subcommittee shall specify the total number of Common Shares such subcommittee may award pursuant to such delegated authority, and no such subcommittee shall designate any officer serving thereon or any officer (within the meaning of Section 16 of the Act) or non-employee director of the Company as a recipient of any Awards granted under such delegated authority.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Powers of Committee</w:t>
      </w:r>
      <w:r>
        <w:rPr>
          <w:rFonts w:ascii="Times New Roman;Times;serif" w:hAnsi="Times New Roman;Times;serif"/>
          <w:color w:val="000000"/>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prescribe, amend and rescind rules and regulations relating to this Plan and to define terms not otherwise defined herein;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(ii) to determine which Persons are Eligible Persons, to which of such Eligible Persons, if any, Awards shall be granted hereunder and the timing of any such Awards;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(iii) to prescribe and amend the terms of the Award Agreements, to grant Awards and determine the terms and conditions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(iv) to establish and verify the extent of satisfaction of any performance goals or other conditions applicable to the grant, issuance, retention, vesting, exercisability or settlement of any Award;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prescribe and amend the terms of or form of any document or notice required to be delivered to the Company by Participants under this Plan;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(vi) to determine the extent to which adjustments are required pursuant to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bidi w:val="0"/>
        <w:spacing w:before="200" w:after="200"/>
        <w:jc w:val="left"/>
        <w:rPr/>
      </w:pPr>
      <w:r>
        <w:rPr/>
      </w:r>
    </w:p>
    <w:p>
      <w:pPr>
        <w:pStyle w:val="TextBody"/>
        <w:bidi w:val="0"/>
        <w:jc w:val="left"/>
        <w:rPr/>
      </w:pPr>
      <w:hyperlink w:anchor="TOC">
        <w:bookmarkStart w:id="76" w:name="ny20067252x1_def14a_200-appa_pg6"/>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(viii) to approve corrections in the documentation or administration of any Award;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(ix) to make all other determinations deemed necessary or advisable for the administration of this Plan;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(x) to adopt such procedures and sub-plans as are necessary or appropriate (A) to permit or facilitate participation in this Plan by persons eligible to receive Awards under this Plan who are not citizens of or subject to taxation by, or who are employed outside, the United States or (B) to allow Awards to qualify for special tax treatment in a jurisdiction other than the United States. Committee approval will not be necessary for immaterial modifications to this Plan or any Award Agreement that are required for compliance with the laws of the relevant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Plan to the contrary, the Committee shall exercise its discretion in a manner that causes Awards to be compliant with or exempt from the requirements of Section 409A of the Code. Without limiting the foregoing, unless expressly agreed to in writing by the Participant holding an Award that is “deferred compensation” under Section 409A of the Code,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in its sole and absolute discretion, without amendment to the Plan but subject to the limitations otherwise set forth in </w:t>
      </w:r>
      <w:r>
        <w:rPr>
          <w:rFonts w:ascii="Times New Roman;Times;serif" w:hAnsi="Times New Roman;Times;serif"/>
          <w:color w:val="000000"/>
          <w:sz w:val="20"/>
          <w:u w:val="single"/>
        </w:rPr>
        <w:t>Section 20</w:t>
      </w:r>
      <w:r>
        <w:rPr>
          <w:rFonts w:ascii="Times New Roman;Times;serif" w:hAnsi="Times New Roman;Times;serif"/>
          <w:color w:val="000000"/>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Times;serif" w:hAnsi="Times New Roman;Times;serif"/>
          <w:color w:val="000000"/>
          <w:sz w:val="20"/>
          <w:u w:val="single"/>
        </w:rPr>
        <w:t>Section 20</w:t>
      </w:r>
      <w:r>
        <w:rPr>
          <w:rFonts w:ascii="Times New Roman;Times;serif" w:hAnsi="Times New Roman;Times;serif"/>
          <w:color w:val="000000"/>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Determinations by the Committee</w:t>
      </w:r>
      <w:r>
        <w:rPr>
          <w:rFonts w:ascii="Times New Roman;Times;serif" w:hAnsi="Times New Roman;Times;serif"/>
          <w:color w:val="000000"/>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Subsidiary Awards</w:t>
      </w:r>
      <w:r>
        <w:rPr>
          <w:rFonts w:ascii="Times New Roman;Times;serif" w:hAnsi="Times New Roman;Times;serif"/>
          <w:color w:val="000000"/>
          <w:sz w:val="20"/>
        </w:rPr>
        <w:t xml:space="preserve">. In the case of a grant of an Award to any Participant employed by a Subsidiary, such grant may, if the Committee so directs, be implemented by the Company issuing any subject Common Shares to the Subsidiary, for such lawful consideration as the Committee may determine, upon the condition or understanding that the Subsidiary will transfer the Common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tbl>
      <w:tblPr>
        <w:tblW w:w="1405" w:type="dxa"/>
        <w:jc w:val="left"/>
        <w:tblInd w:w="0" w:type="dxa"/>
        <w:tblLayout w:type="fixed"/>
        <w:tblCellMar>
          <w:top w:w="0" w:type="dxa"/>
          <w:left w:w="0" w:type="dxa"/>
          <w:bottom w:w="0" w:type="dxa"/>
          <w:right w:w="0" w:type="dxa"/>
        </w:tblCellMar>
      </w:tblPr>
      <w:tblGrid>
        <w:gridCol w:w="200"/>
        <w:gridCol w:w="12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Plan Awards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Terms Set Forth in Award Agreement</w:t>
      </w:r>
      <w:r>
        <w:rPr>
          <w:rFonts w:ascii="Times New Roman;Times;serif" w:hAnsi="Times New Roman;Times;serif"/>
          <w:color w:val="000000"/>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Restricted Stock Awards) shall include the time or times at or within which and the consideration, if any, for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bidi w:val="0"/>
        <w:spacing w:before="200" w:after="200"/>
        <w:jc w:val="left"/>
        <w:rPr/>
      </w:pPr>
      <w:r>
        <w:rPr/>
      </w:r>
    </w:p>
    <w:p>
      <w:pPr>
        <w:pStyle w:val="TextBody"/>
        <w:bidi w:val="0"/>
        <w:jc w:val="left"/>
        <w:rPr/>
      </w:pPr>
      <w:hyperlink w:anchor="TOC">
        <w:bookmarkStart w:id="77" w:name="ny20067252x1_def14a_200-appa_pg7"/>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Common Shares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Termination of Employment</w:t>
      </w:r>
      <w:r>
        <w:rPr>
          <w:rFonts w:ascii="Times New Roman;Times;serif" w:hAnsi="Times New Roman;Times;serif"/>
          <w:color w:val="000000"/>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Rights of a Shareholder</w:t>
      </w:r>
      <w:r>
        <w:rPr>
          <w:rFonts w:ascii="Times New Roman;Times;serif" w:hAnsi="Times New Roman;Times;serif"/>
          <w:color w:val="000000"/>
          <w:sz w:val="20"/>
        </w:rPr>
        <w:t xml:space="preserve">. A Participant shall have no rights as a shareholder with respect to Common Shares covered by an Award (including voting rights) until the date the Participant becomes the holder of record of such Common Shares. No adjustment shall be made for dividends or other rights for which the record date is prior to such date, except as provided in </w:t>
      </w:r>
      <w:r>
        <w:rPr>
          <w:rFonts w:ascii="Times New Roman;Times;serif" w:hAnsi="Times New Roman;Times;serif"/>
          <w:color w:val="000000"/>
          <w:sz w:val="20"/>
          <w:u w:val="single"/>
        </w:rPr>
        <w:t>Sections 10(b)</w:t>
      </w:r>
      <w:r>
        <w:rPr>
          <w:rFonts w:ascii="Times New Roman;Times;serif" w:hAnsi="Times New Roman;Times;serif"/>
          <w:color w:val="000000"/>
          <w:sz w:val="20"/>
        </w:rPr>
        <w:t xml:space="preserve">, </w:t>
      </w:r>
      <w:r>
        <w:rPr>
          <w:rFonts w:ascii="Times New Roman;Times;serif" w:hAnsi="Times New Roman;Times;serif"/>
          <w:color w:val="000000"/>
          <w:sz w:val="20"/>
          <w:u w:val="single"/>
        </w:rPr>
        <w:t>11(b)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16</w:t>
      </w:r>
      <w:r>
        <w:rPr>
          <w:rFonts w:ascii="Times New Roman;Times;serif" w:hAnsi="Times New Roman;Times;serif"/>
          <w:color w:val="000000"/>
          <w:sz w:val="20"/>
        </w:rPr>
        <w:t xml:space="preserve"> of this Plan or as otherwise provided by the Committee. </w:t>
      </w:r>
    </w:p>
    <w:tbl>
      <w:tblPr>
        <w:tblW w:w="985" w:type="dxa"/>
        <w:jc w:val="left"/>
        <w:tblInd w:w="0" w:type="dxa"/>
        <w:tblLayout w:type="fixed"/>
        <w:tblCellMar>
          <w:top w:w="0" w:type="dxa"/>
          <w:left w:w="0" w:type="dxa"/>
          <w:bottom w:w="0" w:type="dxa"/>
          <w:right w:w="0" w:type="dxa"/>
        </w:tblCellMar>
      </w:tblPr>
      <w:tblGrid>
        <w:gridCol w:w="200"/>
        <w:gridCol w:w="78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Options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Grant, Term and Price</w:t>
      </w:r>
      <w:r>
        <w:rPr>
          <w:rFonts w:ascii="Times New Roman;Times;serif" w:hAnsi="Times New Roman;Times;serif"/>
          <w:color w:val="000000"/>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provided, however,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Shares may be purchased upon exercise of an Option, which in no event will be less than the Fair Market Value of such shares on the date of grant; provided, however, that the exercise price per Common Share with respect to an Option that is granted as a Substitute Award may be less than the Fair Market Value of the Common Shares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or such other method as determined by the Committee, including an irrevocable commitment by a broker to pay over such amount from a sale of the Common Shares issuable under an Option, the delivery of previously owned Common Shares or withholding of Common Shares deliverable upon exercise.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No Repricing without Shareholder Approval</w:t>
      </w:r>
      <w:r>
        <w:rPr>
          <w:rFonts w:ascii="Times New Roman;Times;serif" w:hAnsi="Times New Roman;Times;serif"/>
          <w:color w:val="000000"/>
          <w:sz w:val="20"/>
        </w:rPr>
        <w:t xml:space="preserve">. Other than in connection with a change in the Company’s capitalization (as described in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the Committee shall not, without shareholder approval, reduce the exercise price of a previously awarded Option, and at any time when the exercise price of a previously awarded Option is above the Fair Market Value of a Common Share, the Committee shall not, without shareholder approval, cancel and re-grant or exchange such Option for cash or a new Award with a lower (or no) exercise price.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No Reload Grants</w:t>
      </w:r>
      <w:r>
        <w:rPr>
          <w:rFonts w:ascii="Times New Roman;Times;serif" w:hAnsi="Times New Roman;Times;serif"/>
          <w:color w:val="000000"/>
          <w:sz w:val="20"/>
        </w:rPr>
        <w:t xml:space="preserve">. Options shall not be granted under the Plan in consideration for, and shall not be conditioned upon the delivery of, Common Shares to the Company in payment of the exercise price and/or tax withholding obligation under any other employee stock option.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Incentive Stock Options</w:t>
      </w:r>
      <w:r>
        <w:rPr>
          <w:rFonts w:ascii="Times New Roman;Times;serif" w:hAnsi="Times New Roman;Times;serif"/>
          <w:color w:val="000000"/>
          <w:sz w:val="20"/>
        </w:rPr>
        <w:t xml:space="preserve">. Notwithstanding anything to the contrary in this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in the case of the grant of an Incentive Stock Option, if the Participant owns shares possessing more than 10% of the combined voting power of all classes of shares of the Company, the exercise price of such Option must be at least 110% of the Fair Market Value of the Common Shares on the date of grant and the Option must expire within a period of not more than five years from the date of grant. Notwithstanding anything in this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the Common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bidi w:val="0"/>
        <w:spacing w:before="200" w:after="200"/>
        <w:jc w:val="left"/>
        <w:rPr/>
      </w:pPr>
      <w:r>
        <w:rPr/>
      </w:r>
    </w:p>
    <w:p>
      <w:pPr>
        <w:pStyle w:val="TextBody"/>
        <w:bidi w:val="0"/>
        <w:jc w:val="left"/>
        <w:rPr/>
      </w:pPr>
      <w:hyperlink w:anchor="TOC">
        <w:bookmarkStart w:id="78" w:name="ny20067252x1_def14a_200-appa_pg8"/>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No Shareholder Rights</w:t>
      </w:r>
      <w:r>
        <w:rPr>
          <w:rFonts w:ascii="Times New Roman;Times;serif" w:hAnsi="Times New Roman;Times;serif"/>
          <w:color w:val="000000"/>
          <w:sz w:val="20"/>
        </w:rPr>
        <w:t xml:space="preserve">. Participants shall have no voting rights and will have no rights to receive dividends or Dividend Equivalents in respect of an Option or any Common Shares subject to an Option until the Participant has become the holder of record of such shares. </w:t>
      </w:r>
    </w:p>
    <w:tbl>
      <w:tblPr>
        <w:tblW w:w="2530" w:type="dxa"/>
        <w:jc w:val="left"/>
        <w:tblInd w:w="0" w:type="dxa"/>
        <w:tblLayout w:type="fixed"/>
        <w:tblCellMar>
          <w:top w:w="0" w:type="dxa"/>
          <w:left w:w="0" w:type="dxa"/>
          <w:bottom w:w="0" w:type="dxa"/>
          <w:right w:w="0" w:type="dxa"/>
        </w:tblCellMar>
      </w:tblPr>
      <w:tblGrid>
        <w:gridCol w:w="200"/>
        <w:gridCol w:w="233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3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Stock Appreciation Rights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General Terms</w:t>
      </w:r>
      <w:r>
        <w:rPr>
          <w:rFonts w:ascii="Times New Roman;Times;serif" w:hAnsi="Times New Roman;Times;serif"/>
          <w:color w:val="000000"/>
          <w:sz w:val="20"/>
        </w:rPr>
        <w:t>.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Stock Appreciation Rights may be granted to Participants from time to time either in tandem with or as a component of Options granted under the Plan (“</w:t>
      </w:r>
      <w:r>
        <w:rPr>
          <w:rFonts w:ascii="Times New Roman;Times;serif" w:hAnsi="Times New Roman;Times;serif"/>
          <w:b/>
          <w:i/>
          <w:color w:val="000000"/>
          <w:sz w:val="20"/>
        </w:rPr>
        <w:t>tandem SARs</w:t>
      </w:r>
      <w:r>
        <w:rPr>
          <w:rFonts w:ascii="Times New Roman;Times;serif" w:hAnsi="Times New Roman;Times;serif"/>
          <w:color w:val="000000"/>
          <w:sz w:val="20"/>
        </w:rPr>
        <w:t>”) or not in conjunction with other Awards (“</w:t>
      </w:r>
      <w:r>
        <w:rPr>
          <w:rFonts w:ascii="Times New Roman;Times;serif" w:hAnsi="Times New Roman;Times;serif"/>
          <w:b/>
          <w:i/>
          <w:color w:val="000000"/>
          <w:sz w:val="20"/>
        </w:rPr>
        <w:t>freestanding SARs</w:t>
      </w:r>
      <w:r>
        <w:rPr>
          <w:rFonts w:ascii="Times New Roman;Times;serif" w:hAnsi="Times New Roman;Times;serif"/>
          <w:color w:val="000000"/>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Share on the date of the SAR’s grant is not greater than the exercise price of the related Option. All freestanding SARs shall be granted subject to the same terms and conditions applicable to Options as set forth in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and all tandem SARs shall have the same exercise price as the Option to which they relate. Subject to the provisions of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and the immediately preceding sentence, the Committee may impose such other conditions or restrictions on any Stock Appreciation Right as it shall deem appropriate. Stock Appreciation Rights may be settled in Common Share, cash, Restricted Stock or a combination thereof, as determined by the Committee and set forth in the applicable Award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No Repricing without Shareholder Approval</w:t>
      </w:r>
      <w:r>
        <w:rPr>
          <w:rFonts w:ascii="Times New Roman;Times;serif" w:hAnsi="Times New Roman;Times;serif"/>
          <w:color w:val="000000"/>
          <w:sz w:val="20"/>
        </w:rPr>
        <w:t xml:space="preserve">. Other than in connection with a change in the Company’s capitalization (as described in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the Committee shall not, without shareholder approval, reduce the exercise price of a previously awarded Stock Appreciation Right, and at any time when the exercise price of a previously awarded Stock Appreciation Right is above the Fair Market Value of a Common Share, the Committee shall not, without shareholder approval, cancel and re-grant or exchange such Stock Appreciation Right for cash or a new Award with a lower (or no) exercise price.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No Shareholder Rights</w:t>
      </w:r>
      <w:r>
        <w:rPr>
          <w:rFonts w:ascii="Times New Roman;Times;serif" w:hAnsi="Times New Roman;Times;serif"/>
          <w:color w:val="000000"/>
          <w:sz w:val="20"/>
        </w:rPr>
        <w:t xml:space="preserve">. Participants shall have no voting rights and will have no rights to receive dividends or Dividend Equivalents in respect of an Award of Stock Appreciation Rights or any Common Shares subject to an Award of Stock Appreciation Rights until the Participant has become the holder of record of such shares. </w:t>
      </w:r>
    </w:p>
    <w:tbl>
      <w:tblPr>
        <w:tblW w:w="4045" w:type="dxa"/>
        <w:jc w:val="left"/>
        <w:tblInd w:w="0" w:type="dxa"/>
        <w:tblLayout w:type="fixed"/>
        <w:tblCellMar>
          <w:top w:w="0" w:type="dxa"/>
          <w:left w:w="0" w:type="dxa"/>
          <w:bottom w:w="0" w:type="dxa"/>
          <w:right w:w="0" w:type="dxa"/>
        </w:tblCellMar>
      </w:tblPr>
      <w:tblGrid>
        <w:gridCol w:w="305"/>
        <w:gridCol w:w="374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Restricted Stock and Restricted Stock Units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Vesting and Performance Criteria</w:t>
      </w:r>
      <w:r>
        <w:rPr>
          <w:rFonts w:ascii="Times New Roman;Times;serif" w:hAnsi="Times New Roman;Times;serif"/>
          <w:color w:val="000000"/>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shareholder-approved compensation plans or arrangements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Dividends and Distributions</w:t>
      </w:r>
      <w:r>
        <w:rPr>
          <w:rFonts w:ascii="Times New Roman;Times;serif" w:hAnsi="Times New Roman;Times;serif"/>
          <w:color w:val="000000"/>
          <w:sz w:val="20"/>
        </w:rPr>
        <w:t xml:space="preserve">. Participants in whose name Restricted Stock is granted shall be entitled to receive all dividends and other distributions paid with respect to those Common Shares,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Notwithstanding anything herein to the contrary, in no event will dividends or Dividend Equivalents be paid during the performance period with respect to unearned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bidi w:val="0"/>
        <w:spacing w:before="200" w:after="200"/>
        <w:jc w:val="left"/>
        <w:rPr/>
      </w:pPr>
      <w:r>
        <w:rPr/>
      </w:r>
    </w:p>
    <w:p>
      <w:pPr>
        <w:pStyle w:val="TextBody"/>
        <w:bidi w:val="0"/>
        <w:jc w:val="left"/>
        <w:rPr/>
      </w:pPr>
      <w:hyperlink w:anchor="TOC">
        <w:bookmarkStart w:id="79" w:name="ny20067252x1_def14a_200-appa_pg9"/>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Awards of Restricted Stock or Restricted Stock Units that are subject to performance-based vesting criteria. Dividends or Dividend Equivalents accrued on such shares shall become payable no earlier than the date the performance-based vesting criteria have been achieved and the underlying shares of Restricted Stock or Restricted Stock Units have been earned. </w:t>
      </w:r>
    </w:p>
    <w:tbl>
      <w:tblPr>
        <w:tblW w:w="2725" w:type="dxa"/>
        <w:jc w:val="left"/>
        <w:tblInd w:w="0" w:type="dxa"/>
        <w:tblLayout w:type="fixed"/>
        <w:tblCellMar>
          <w:top w:w="0" w:type="dxa"/>
          <w:left w:w="0" w:type="dxa"/>
          <w:bottom w:w="0" w:type="dxa"/>
          <w:right w:w="0" w:type="dxa"/>
        </w:tblCellMar>
      </w:tblPr>
      <w:tblGrid>
        <w:gridCol w:w="305"/>
        <w:gridCol w:w="242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24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Share-Based Awards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 xml:space="preserve">General Terms. </w:t>
      </w:r>
      <w:r>
        <w:rPr>
          <w:rFonts w:ascii="Times New Roman;Times;serif" w:hAnsi="Times New Roman;Times;serif"/>
          <w:color w:val="000000"/>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Shares, as deemed by the Committee to be consistent with the purposes of the Plan. The Committee shall determine the terms and conditions of such Other Share-Based Awards. Common Shares delivered pursuant to an Other Share-Based Award in the nature of a purchase right granted under this </w:t>
      </w: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shall be purchased for such consideration, paid for at such times, by such methods, and in such forms, including cash, Common Shares, other Awards, or other property, as the Committee shall determine.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Dividends and Distributions</w:t>
      </w:r>
      <w:r>
        <w:rPr>
          <w:rFonts w:ascii="Times New Roman;Times;serif" w:hAnsi="Times New Roman;Times;serif"/>
          <w:color w:val="000000"/>
          <w:sz w:val="20"/>
        </w:rPr>
        <w:t>. Shares underlying Other Share-Based Awards shall be entitled to dividends or distributions only to the extent provided by the Committee. Notwithstanding anything herein to the contrary, in no event will dividends or Dividend Equivalents be paid during the performance period with respect to unearned Other Share-Based Awards that are subject to performance-based vesting criteria. Dividends or Dividend Equivalents accrued on such shares shall become payable no earlier than the date the performance-based vesting criteria have been achieved and the shares underlying the Other Share-Based Award have been earned.</w:t>
      </w:r>
    </w:p>
    <w:tbl>
      <w:tblPr>
        <w:tblW w:w="1945" w:type="dxa"/>
        <w:jc w:val="left"/>
        <w:tblInd w:w="0" w:type="dxa"/>
        <w:tblLayout w:type="fixed"/>
        <w:tblCellMar>
          <w:top w:w="0" w:type="dxa"/>
          <w:left w:w="0" w:type="dxa"/>
          <w:bottom w:w="0" w:type="dxa"/>
          <w:right w:w="0" w:type="dxa"/>
        </w:tblCellMar>
      </w:tblPr>
      <w:tblGrid>
        <w:gridCol w:w="305"/>
        <w:gridCol w:w="164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6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Incentive Bonuses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Performance Criteria</w:t>
      </w:r>
      <w:r>
        <w:rPr>
          <w:rFonts w:ascii="Times New Roman;Times;serif" w:hAnsi="Times New Roman;Times;serif"/>
          <w:color w:val="000000"/>
          <w:sz w:val="20"/>
        </w:rPr>
        <w:t xml:space="preserve">. The Committee shall establish the performance criteria and level of achievement versus such criteria that shall determine the amount payable under an Incentive Bonus, which may include a target, threshold and/or maximum amount payable and any formula for determining such achievement, and which criteria may be based on performance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Timing and Form of Payment</w:t>
      </w:r>
      <w:r>
        <w:rPr>
          <w:rFonts w:ascii="Times New Roman;Times;serif" w:hAnsi="Times New Roman;Times;serif"/>
          <w:color w:val="000000"/>
          <w:sz w:val="20"/>
        </w:rPr>
        <w:t xml:space="preserve">. The Committee shall determine the timing of payment of any Incentive Bonus. Payment of the amount due under an Incentive Bonus may be made in cash or in Common Share, as determined by the Committee.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Discretionary Adjustments</w:t>
      </w:r>
      <w:r>
        <w:rPr>
          <w:rFonts w:ascii="Times New Roman;Times;serif" w:hAnsi="Times New Roman;Times;serif"/>
          <w:color w:val="000000"/>
          <w:sz w:val="20"/>
        </w:rPr>
        <w:t xml:space="preserve">. Notwithstanding satisfaction of any performance goals and, the amount paid under an Incentive Bonus on account of either financial performance or personal performance evaluations may be adjusted by the Committee on the basis of such further considerations as the Committee shall determine. </w:t>
      </w:r>
    </w:p>
    <w:tbl>
      <w:tblPr>
        <w:tblW w:w="2230" w:type="dxa"/>
        <w:jc w:val="left"/>
        <w:tblInd w:w="0" w:type="dxa"/>
        <w:tblLayout w:type="fixed"/>
        <w:tblCellMar>
          <w:top w:w="0" w:type="dxa"/>
          <w:left w:w="0" w:type="dxa"/>
          <w:bottom w:w="0" w:type="dxa"/>
          <w:right w:w="0" w:type="dxa"/>
        </w:tblCellMar>
      </w:tblPr>
      <w:tblGrid>
        <w:gridCol w:w="305"/>
        <w:gridCol w:w="192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1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Performance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may establish performance criteria and level of achievement versus such criteria that shall determine the number of Common Shares, Restricted Stock Units, or cash to be granted, retained, vested, issued or issuable under or in settlement of or the amount payable pursuant to an Award (any such Award, a “</w:t>
      </w:r>
      <w:r>
        <w:rPr>
          <w:rFonts w:ascii="Times New Roman;Times;serif" w:hAnsi="Times New Roman;Times;serif"/>
          <w:b/>
          <w:i/>
          <w:color w:val="000000"/>
          <w:sz w:val="20"/>
        </w:rPr>
        <w:t>Performance Award</w:t>
      </w:r>
      <w:r>
        <w:rPr>
          <w:rFonts w:ascii="Times New Roman;Times;serif" w:hAnsi="Times New Roman;Times;serif"/>
          <w:color w:val="000000"/>
          <w:sz w:val="20"/>
        </w:rPr>
        <w:t xml:space="preserve">”). A Performance Award may be identified as “Performance Share,” “Performance Equity,” “Performance Unit” or other such term as chosen by the Committee. </w:t>
      </w:r>
    </w:p>
    <w:tbl>
      <w:tblPr>
        <w:tblW w:w="2155" w:type="dxa"/>
        <w:jc w:val="left"/>
        <w:tblInd w:w="0" w:type="dxa"/>
        <w:tblLayout w:type="fixed"/>
        <w:tblCellMar>
          <w:top w:w="0" w:type="dxa"/>
          <w:left w:w="0" w:type="dxa"/>
          <w:bottom w:w="0" w:type="dxa"/>
          <w:right w:w="0" w:type="dxa"/>
        </w:tblCellMar>
      </w:tblPr>
      <w:tblGrid>
        <w:gridCol w:w="305"/>
        <w:gridCol w:w="185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18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Deferral of Payment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in an Award Agreement or otherwise, provide for the deferred delivery of Common Shares or cash upon settlement, vesting or other events with respect to Restricted Stock Units, Other Share-Based Awards or in payment or satisfaction of an Incentive Bonus. Notwithstanding anything herein to the contrary, in no event will any election to defer the delivery of Common Shares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w:t>
      </w:r>
    </w:p>
    <w:tbl>
      <w:tblPr>
        <w:tblW w:w="5680" w:type="dxa"/>
        <w:jc w:val="left"/>
        <w:tblInd w:w="0" w:type="dxa"/>
        <w:tblLayout w:type="fixed"/>
        <w:tblCellMar>
          <w:top w:w="0" w:type="dxa"/>
          <w:left w:w="0" w:type="dxa"/>
          <w:bottom w:w="0" w:type="dxa"/>
          <w:right w:w="0" w:type="dxa"/>
        </w:tblCellMar>
      </w:tblPr>
      <w:tblGrid>
        <w:gridCol w:w="305"/>
        <w:gridCol w:w="537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5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and Restrictions Upon Securities Subject to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provide that the Common Shares issued upon exercise of an Option or Stock Appreciation Right or otherwise subject to or issued under an Award shall be subject to such further agreements,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bidi w:val="0"/>
        <w:spacing w:before="200" w:after="200"/>
        <w:jc w:val="left"/>
        <w:rPr/>
      </w:pPr>
      <w:r>
        <w:rPr/>
      </w:r>
    </w:p>
    <w:p>
      <w:pPr>
        <w:pStyle w:val="TextBody"/>
        <w:bidi w:val="0"/>
        <w:jc w:val="left"/>
        <w:rPr/>
      </w:pPr>
      <w:hyperlink w:anchor="TOC">
        <w:bookmarkStart w:id="80" w:name="ny20067252x1_def14a_200-appa_pg10"/>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Shares issued upon exercise, vesting or settlement of such Award (including the actual or constructive surrender of Common Shares already owned by the Participant) or payment of taxes arising in connection with an Award. Without limiting the foregoing, such restrictions may address the timing and manner of any resales by the Participant or other subsequent transfers by the Participant of any Common Shares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Shares be sold on the open market or to the Company in order to satisfy tax withholding or other obligations. </w:t>
      </w:r>
    </w:p>
    <w:tbl>
      <w:tblPr>
        <w:tblW w:w="3850" w:type="dxa"/>
        <w:jc w:val="left"/>
        <w:tblInd w:w="0" w:type="dxa"/>
        <w:tblLayout w:type="fixed"/>
        <w:tblCellMar>
          <w:top w:w="0" w:type="dxa"/>
          <w:left w:w="0" w:type="dxa"/>
          <w:bottom w:w="0" w:type="dxa"/>
          <w:right w:w="0" w:type="dxa"/>
        </w:tblCellMar>
      </w:tblPr>
      <w:tblGrid>
        <w:gridCol w:w="305"/>
        <w:gridCol w:w="354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3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Adjustment of and Changes in the Shares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number and kind of Common Shares available for issuance under this Plan (including under any Awards then outstanding), and the number and kind of Common Shares subject to the limits set forth in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shall be equitably adjusted by the Committee to reflect any reorganization, reclassification, combination of shares, share split, reverse share split, spin-off, dividend or distribution of securities, property or cash (other than regular, quarterly cash dividends), or any other event or transaction that affects the number or kind of Common Shares outstanding. Such adjustment may be designed to comply with Section 424 of the Code or may be designed to treat the Common Shares available under the Plan and subject to Awards as if they were all outstanding on the record date for such event or transaction or to increase the number of such Common Shares to reflect a deemed reinvestment in Common Shares of the amount distributed to the Company’s securityholders. The terms of any outstanding Award shall also be equitably adjusted by the Committee as to price, number or kind of Common Shares subject to such Award, vesting, and other terms to reflect the foregoing events, which adjustments need not be uniform as between different Awards or different types of Awards. No fractional Common Shares shall be issued or issuable pursuant to such an adjustment.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16(c)</w:t>
      </w:r>
      <w:r>
        <w:rPr>
          <w:rFonts w:ascii="Times New Roman;Times;serif" w:hAnsi="Times New Roman;Times;serif"/>
          <w:color w:val="000000"/>
          <w:sz w:val="20"/>
        </w:rPr>
        <w:t xml:space="preserve">, in the event there shall be any other change in the number or kind of outstanding Common Shares, or any shares or other securities into which such Common Shares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of a Change in Control, immediately prior to the Change in Control, all Awards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the greater of target level achievement or actual performance through the date of the Change in Control, and (C) in the case of outstanding Restricted Stock, Restricted Stock Units or Other Share-Based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Times;serif" w:hAnsi="Times New Roman;Times;serif"/>
          <w:color w:val="000000"/>
          <w:sz w:val="20"/>
          <w:u w:val="single"/>
        </w:rPr>
        <w:t>Section 16(c)</w:t>
      </w:r>
      <w:r>
        <w:rPr>
          <w:rFonts w:ascii="Times New Roman;Times;serif" w:hAnsi="Times New Roman;Times;serif"/>
          <w:color w:val="000000"/>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anything in this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to the contrary, in the event of a Change in Control, the Committee may provide for, following the application of the treatment set forth in </w:t>
      </w:r>
      <w:r>
        <w:rPr>
          <w:rFonts w:ascii="Times New Roman;Times;serif" w:hAnsi="Times New Roman;Times;serif"/>
          <w:color w:val="000000"/>
          <w:sz w:val="20"/>
          <w:u w:val="single"/>
        </w:rPr>
        <w:t>Section 16(c)</w:t>
      </w:r>
      <w:r>
        <w:rPr>
          <w:rFonts w:ascii="Times New Roman;Times;serif" w:hAnsi="Times New Roman;Times;serif"/>
          <w:color w:val="000000"/>
          <w:sz w:val="20"/>
        </w:rPr>
        <w:t xml:space="preserve">, the cancellation and cash settlement of all outstanding Awards upon such Change in Control.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this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to the contrary, an adjustment to an Option or Stock Appreciation Right under this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shall be made in a manner that will not result in the grant of a new Option or Stock Appreciation Right under Section 409A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bidi w:val="0"/>
        <w:spacing w:before="200" w:after="200"/>
        <w:jc w:val="left"/>
        <w:rPr/>
      </w:pPr>
      <w:r>
        <w:rPr/>
      </w:r>
    </w:p>
    <w:p>
      <w:pPr>
        <w:pStyle w:val="TextBody"/>
        <w:bidi w:val="0"/>
        <w:jc w:val="left"/>
        <w:rPr/>
      </w:pPr>
      <w:hyperlink w:anchor="TOC">
        <w:bookmarkStart w:id="81" w:name="ny20067252x1_def14a_200-appa_pg11"/>
        <w:bookmarkEnd w:id="81"/>
        <w:r>
          <w:rPr>
            <w:rStyle w:val="InternetLink"/>
            <w:rFonts w:ascii="Times New Roman;Times;Serif" w:hAnsi="Times New Roman;Times;Serif"/>
            <w:b/>
            <w:caps w:val="false"/>
            <w:smallCaps w:val="false"/>
            <w:color w:val="000000"/>
            <w:sz w:val="16"/>
          </w:rPr>
          <w:t>TABLE OF CONTENTS</w:t>
        </w:r>
      </w:hyperlink>
    </w:p>
    <w:tbl>
      <w:tblPr>
        <w:tblW w:w="1735" w:type="dxa"/>
        <w:jc w:val="left"/>
        <w:tblInd w:w="0" w:type="dxa"/>
        <w:tblLayout w:type="fixed"/>
        <w:tblCellMar>
          <w:top w:w="0" w:type="dxa"/>
          <w:left w:w="0" w:type="dxa"/>
          <w:bottom w:w="0" w:type="dxa"/>
          <w:right w:w="0" w:type="dxa"/>
        </w:tblCellMar>
      </w:tblPr>
      <w:tblGrid>
        <w:gridCol w:w="305"/>
        <w:gridCol w:w="143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w:t>
            </w:r>
          </w:p>
        </w:tc>
        <w:tc>
          <w:tcPr>
            <w:tcW w:w="14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Transferability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 Participant may transfer or assign an Award as a gift to an entity wholly owned by such Participant (an “</w:t>
      </w:r>
      <w:r>
        <w:rPr>
          <w:rFonts w:ascii="Times New Roman;Times;serif" w:hAnsi="Times New Roman;Times;serif"/>
          <w:b/>
          <w:i/>
          <w:color w:val="000000"/>
          <w:sz w:val="20"/>
        </w:rPr>
        <w:t>Assignee Entity</w:t>
      </w:r>
      <w:r>
        <w:rPr>
          <w:rFonts w:ascii="Times New Roman;Times;serif" w:hAnsi="Times New Roman;Times;serif"/>
          <w:color w:val="000000"/>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w:t>
            </w:r>
          </w:p>
        </w:tc>
        <w:tc>
          <w:tcPr>
            <w:tcW w:w="34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Compliance with Laws and Regulations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Plan, the grant, issuance, vesting, exercise and settlement of Awards hereunder, and the obligation of the Company to sell, issue or deliver Common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Common Shares hereunder, the Company and its Subsidiaries shall be relieved of any liability with respect to the failure to issue or sell such Common Shares as to which such requisite authority shall not have been obtained. No Option shall be exercisable and no Common Share shall be issued and/or transferable under any other Award unless a registration statement with respect to the Common Share underlying such Option is effective and current or the Company has determined, in its sole and absolute discretion, that such registration is unnecessary.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tbl>
      <w:tblPr>
        <w:tblW w:w="1495" w:type="dxa"/>
        <w:jc w:val="left"/>
        <w:tblInd w:w="0" w:type="dxa"/>
        <w:tblLayout w:type="fixed"/>
        <w:tblCellMar>
          <w:top w:w="0" w:type="dxa"/>
          <w:left w:w="0" w:type="dxa"/>
          <w:bottom w:w="0" w:type="dxa"/>
          <w:right w:w="0" w:type="dxa"/>
        </w:tblCellMar>
      </w:tblPr>
      <w:tblGrid>
        <w:gridCol w:w="305"/>
        <w:gridCol w:w="119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19.</w:t>
            </w:r>
          </w:p>
        </w:tc>
        <w:tc>
          <w:tcPr>
            <w:tcW w:w="1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Withholding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Common Shares. The Company shall not be required to recognize any Participant rights under an Award, to issue Common Shares or to recognize the disposition of such Common Shares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Common Shares that otherwise would be issued to a Participant under such Award or any other Award held by the Participant, or by the Participant tendering to the Company cash or, if allowed by the Committee, Common Shares. </w:t>
      </w:r>
    </w:p>
    <w:tbl>
      <w:tblPr>
        <w:tblW w:w="3325" w:type="dxa"/>
        <w:jc w:val="left"/>
        <w:tblInd w:w="0" w:type="dxa"/>
        <w:tblLayout w:type="fixed"/>
        <w:tblCellMar>
          <w:top w:w="0" w:type="dxa"/>
          <w:left w:w="0" w:type="dxa"/>
          <w:bottom w:w="0" w:type="dxa"/>
          <w:right w:w="0" w:type="dxa"/>
        </w:tblCellMar>
      </w:tblPr>
      <w:tblGrid>
        <w:gridCol w:w="305"/>
        <w:gridCol w:w="302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20.</w:t>
            </w:r>
          </w:p>
        </w:tc>
        <w:tc>
          <w:tcPr>
            <w:tcW w:w="30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the Plan or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may amend, alter or discontinue this Plan, and the Committee may amend or alter any Award Agreement or other document evidencing an Award made under this Plan; however, except as provided pursuant to the provisions of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no such amendment shall, without the approval of the shareholders of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(a) increase the maximum number of Common Shares for which Awards may be granted under this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(b) reduce the price at which Options may be granted below the price provided for in </w:t>
      </w:r>
      <w:r>
        <w:rPr>
          <w:rFonts w:ascii="Times New Roman;Times;serif" w:hAnsi="Times New Roman;Times;serif"/>
          <w:color w:val="000000"/>
          <w:sz w:val="20"/>
          <w:u w:val="single"/>
        </w:rPr>
        <w:t>Section 8(a)</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(c) reprice outstanding Options or SARs as described in </w:t>
      </w:r>
      <w:r>
        <w:rPr>
          <w:rFonts w:ascii="Times New Roman;Times;serif" w:hAnsi="Times New Roman;Times;serif"/>
          <w:color w:val="000000"/>
          <w:sz w:val="20"/>
          <w:u w:val="single"/>
        </w:rPr>
        <w:t>Sections 8(b)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9(b)</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bidi w:val="0"/>
        <w:spacing w:before="200" w:after="200"/>
        <w:jc w:val="left"/>
        <w:rPr/>
      </w:pPr>
      <w:r>
        <w:rPr/>
      </w:r>
    </w:p>
    <w:p>
      <w:pPr>
        <w:pStyle w:val="TextBody"/>
        <w:bidi w:val="0"/>
        <w:jc w:val="left"/>
        <w:rPr/>
      </w:pPr>
      <w:hyperlink w:anchor="TOC">
        <w:bookmarkStart w:id="82" w:name="ny20067252x1_def14a_200-appa_pg1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(d) extend the term of this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(e) change the class of Persons eligible to be Participants;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(f) increase the individual maximum limits in </w:t>
      </w:r>
      <w:r>
        <w:rPr>
          <w:rFonts w:ascii="Times New Roman;Times;serif" w:hAnsi="Times New Roman;Times;serif"/>
          <w:color w:val="000000"/>
          <w:sz w:val="20"/>
          <w:u w:val="single"/>
        </w:rPr>
        <w:t>Section 5(e)</w:t>
      </w:r>
      <w:r>
        <w:rPr>
          <w:rFonts w:ascii="Times New Roman;Times;serif" w:hAnsi="Times New Roman;Times;serif"/>
          <w:color w:val="000000"/>
          <w:sz w:val="20"/>
        </w:rPr>
        <w:t xml:space="preserve">;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(g) otherwise amend the Plan in any manner requiring shareholder approval by law or the rules of any stock exchange or market or quotation system on which the Common Share is traded, listed or quoted.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amendment or alteration to the Plan or an Award or Award Agreement shall be made which would materially impair the rights of the holder of an Award without such holder’s consent; provided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tbl>
      <w:tblPr>
        <w:tblW w:w="2545" w:type="dxa"/>
        <w:jc w:val="left"/>
        <w:tblInd w:w="0" w:type="dxa"/>
        <w:tblLayout w:type="fixed"/>
        <w:tblCellMar>
          <w:top w:w="0" w:type="dxa"/>
          <w:left w:w="0" w:type="dxa"/>
          <w:bottom w:w="0" w:type="dxa"/>
          <w:right w:w="0" w:type="dxa"/>
        </w:tblCellMar>
      </w:tblPr>
      <w:tblGrid>
        <w:gridCol w:w="305"/>
        <w:gridCol w:w="224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21.</w:t>
            </w:r>
          </w:p>
        </w:tc>
        <w:tc>
          <w:tcPr>
            <w:tcW w:w="2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 Liability of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any Subsidiary or Affiliate which is in existence or hereafter comes into existence, the Board and the Committee shall not be liable to a Participant or any other person as to: (a) the non-issuance or sale of Common Shares as to which the Company has been unable to obtain from any regulatory body having jurisdiction the authority deemed by the Company’s counsel to be necessary to the lawful issuance and sale of any Common Shares hereunder; and (b) any tax consequence expected, but not realized, by any Participant or other person due to the receipt, vesting, exercise or settlement of any Award granted hereunder. </w:t>
      </w:r>
    </w:p>
    <w:tbl>
      <w:tblPr>
        <w:tblW w:w="2440" w:type="dxa"/>
        <w:jc w:val="left"/>
        <w:tblInd w:w="0" w:type="dxa"/>
        <w:tblLayout w:type="fixed"/>
        <w:tblCellMar>
          <w:top w:w="0" w:type="dxa"/>
          <w:left w:w="0" w:type="dxa"/>
          <w:bottom w:w="0" w:type="dxa"/>
          <w:right w:w="0" w:type="dxa"/>
        </w:tblCellMar>
      </w:tblPr>
      <w:tblGrid>
        <w:gridCol w:w="305"/>
        <w:gridCol w:w="213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22.</w:t>
            </w:r>
          </w:p>
        </w:tc>
        <w:tc>
          <w:tcPr>
            <w:tcW w:w="21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Non-Exclusivity of Plan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Restricted Stock or Options otherwise than under this Plan, and such arrangements may be either generally applicable or applicable only in specific cases. </w:t>
      </w:r>
    </w:p>
    <w:tbl>
      <w:tblPr>
        <w:tblW w:w="1720" w:type="dxa"/>
        <w:jc w:val="left"/>
        <w:tblInd w:w="0" w:type="dxa"/>
        <w:tblLayout w:type="fixed"/>
        <w:tblCellMar>
          <w:top w:w="0" w:type="dxa"/>
          <w:left w:w="0" w:type="dxa"/>
          <w:bottom w:w="0" w:type="dxa"/>
          <w:right w:w="0" w:type="dxa"/>
        </w:tblCellMar>
      </w:tblPr>
      <w:tblGrid>
        <w:gridCol w:w="305"/>
        <w:gridCol w:w="141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23.</w:t>
            </w:r>
          </w:p>
        </w:tc>
        <w:tc>
          <w:tcPr>
            <w:tcW w:w="14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Governing Law</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Plan and any agreements or other documents hereunder shall be interpreted and construed in accordance with the laws of the Cayman Islands (without regard to its choice of law provisions). Any reference in this Plan or in the agreement or other document evidencing any Awards to a provision of law or to a rule or regulation shall be deemed to include any successor law, rule or regulation of similar effect or applicability. </w:t>
      </w:r>
    </w:p>
    <w:tbl>
      <w:tblPr>
        <w:tblW w:w="5335" w:type="dxa"/>
        <w:jc w:val="left"/>
        <w:tblInd w:w="0" w:type="dxa"/>
        <w:tblLayout w:type="fixed"/>
        <w:tblCellMar>
          <w:top w:w="0" w:type="dxa"/>
          <w:left w:w="0" w:type="dxa"/>
          <w:bottom w:w="0" w:type="dxa"/>
          <w:right w:w="0" w:type="dxa"/>
        </w:tblCellMar>
      </w:tblPr>
      <w:tblGrid>
        <w:gridCol w:w="305"/>
        <w:gridCol w:w="503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24.</w:t>
            </w:r>
          </w:p>
        </w:tc>
        <w:tc>
          <w:tcPr>
            <w:tcW w:w="50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 Right to Employment, Reelection or Continued Service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Times;serif" w:hAnsi="Times New Roman;Times;serif"/>
          <w:color w:val="000000"/>
          <w:sz w:val="20"/>
          <w:u w:val="single"/>
        </w:rPr>
        <w:t>Sections 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20</w:t>
      </w:r>
      <w:r>
        <w:rPr>
          <w:rFonts w:ascii="Times New Roman;Times;serif" w:hAnsi="Times New Roman;Times;serif"/>
          <w:color w:val="000000"/>
          <w:sz w:val="20"/>
        </w:rPr>
        <w:t xml:space="preserve">, this Plan and the benefits hereunder may be terminated at any time in the sole and exclusive discretion of the Board without giving rise to any liability on the part of the Company, its Subsidiaries and/or its Affiliates. </w:t>
      </w:r>
    </w:p>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25.</w:t>
            </w:r>
          </w:p>
        </w:tc>
        <w:tc>
          <w:tcPr>
            <w:tcW w:w="23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Specified Employee Delay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form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bidi w:val="0"/>
        <w:spacing w:before="200" w:after="200"/>
        <w:jc w:val="left"/>
        <w:rPr/>
      </w:pPr>
      <w:r>
        <w:rPr/>
      </w:r>
    </w:p>
    <w:p>
      <w:pPr>
        <w:pStyle w:val="TextBody"/>
        <w:bidi w:val="0"/>
        <w:jc w:val="left"/>
        <w:rPr/>
      </w:pPr>
      <w:hyperlink w:anchor="TOC">
        <w:bookmarkStart w:id="83" w:name="ny20067252x1_def14a_200-appa_pg13"/>
        <w:bookmarkEnd w:id="83"/>
        <w:r>
          <w:rPr>
            <w:rStyle w:val="InternetLink"/>
            <w:rFonts w:ascii="Times New Roman;Times;Serif" w:hAnsi="Times New Roman;Times;Serif"/>
            <w:b/>
            <w:caps w:val="false"/>
            <w:smallCaps w:val="false"/>
            <w:color w:val="000000"/>
            <w:sz w:val="16"/>
          </w:rPr>
          <w:t>TABLE OF CONTENTS</w:t>
        </w:r>
      </w:hyperlink>
    </w:p>
    <w:tbl>
      <w:tblPr>
        <w:tblW w:w="3490" w:type="dxa"/>
        <w:jc w:val="left"/>
        <w:tblInd w:w="0" w:type="dxa"/>
        <w:tblLayout w:type="fixed"/>
        <w:tblCellMar>
          <w:top w:w="0" w:type="dxa"/>
          <w:left w:w="0" w:type="dxa"/>
          <w:bottom w:w="0" w:type="dxa"/>
          <w:right w:w="0" w:type="dxa"/>
        </w:tblCellMar>
      </w:tblPr>
      <w:tblGrid>
        <w:gridCol w:w="305"/>
        <w:gridCol w:w="318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26.</w:t>
            </w:r>
          </w:p>
        </w:tc>
        <w:tc>
          <w:tcPr>
            <w:tcW w:w="3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 Liability of Committee Members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or otherwise, or any power that the Company may have to indemnify them or hold them harmless. </w:t>
      </w:r>
    </w:p>
    <w:tbl>
      <w:tblPr>
        <w:tblW w:w="1465" w:type="dxa"/>
        <w:jc w:val="left"/>
        <w:tblInd w:w="0" w:type="dxa"/>
        <w:tblLayout w:type="fixed"/>
        <w:tblCellMar>
          <w:top w:w="0" w:type="dxa"/>
          <w:left w:w="0" w:type="dxa"/>
          <w:bottom w:w="0" w:type="dxa"/>
          <w:right w:w="0" w:type="dxa"/>
        </w:tblCellMar>
      </w:tblPr>
      <w:tblGrid>
        <w:gridCol w:w="305"/>
        <w:gridCol w:w="116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27.</w:t>
            </w:r>
          </w:p>
        </w:tc>
        <w:tc>
          <w:tcPr>
            <w:tcW w:w="1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Severability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tbl>
      <w:tblPr>
        <w:tblW w:w="1675" w:type="dxa"/>
        <w:jc w:val="left"/>
        <w:tblInd w:w="0" w:type="dxa"/>
        <w:tblLayout w:type="fixed"/>
        <w:tblCellMar>
          <w:top w:w="0" w:type="dxa"/>
          <w:left w:w="0" w:type="dxa"/>
          <w:bottom w:w="0" w:type="dxa"/>
          <w:right w:w="0" w:type="dxa"/>
        </w:tblCellMar>
      </w:tblPr>
      <w:tblGrid>
        <w:gridCol w:w="305"/>
        <w:gridCol w:w="137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28.</w:t>
            </w:r>
          </w:p>
        </w:tc>
        <w:tc>
          <w:tcPr>
            <w:tcW w:w="13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Unfunded Plan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tbl>
      <w:tblPr>
        <w:tblW w:w="2380" w:type="dxa"/>
        <w:jc w:val="left"/>
        <w:tblInd w:w="0" w:type="dxa"/>
        <w:tblLayout w:type="fixed"/>
        <w:tblCellMar>
          <w:top w:w="0" w:type="dxa"/>
          <w:left w:w="0" w:type="dxa"/>
          <w:bottom w:w="0" w:type="dxa"/>
          <w:right w:w="0" w:type="dxa"/>
        </w:tblCellMar>
      </w:tblPr>
      <w:tblGrid>
        <w:gridCol w:w="305"/>
        <w:gridCol w:w="207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2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Clawback/Recoupment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in an Award Agreement as the Committee determines necessary or appropriate, including a reacquisition right in respect of previously acquired Common Shares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tbl>
      <w:tblPr>
        <w:tblW w:w="1630" w:type="dxa"/>
        <w:jc w:val="left"/>
        <w:tblInd w:w="0" w:type="dxa"/>
        <w:tblLayout w:type="fixed"/>
        <w:tblCellMar>
          <w:top w:w="0" w:type="dxa"/>
          <w:left w:w="0" w:type="dxa"/>
          <w:bottom w:w="0" w:type="dxa"/>
          <w:right w:w="0" w:type="dxa"/>
        </w:tblCellMar>
      </w:tblPr>
      <w:tblGrid>
        <w:gridCol w:w="305"/>
        <w:gridCol w:w="132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30.</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Interpretation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bidi w:val="0"/>
        <w:spacing w:before="200" w:after="200"/>
        <w:jc w:val="left"/>
        <w:rPr/>
      </w:pPr>
      <w:r>
        <w:rPr/>
      </w:r>
    </w:p>
    <w:p>
      <w:pPr>
        <w:pStyle w:val="TextBody"/>
        <w:bidi w:val="0"/>
        <w:jc w:val="left"/>
        <w:rPr/>
      </w:pPr>
      <w:hyperlink w:anchor="TOC">
        <w:bookmarkStart w:id="84" w:name="ny20067252x1_def14a_300-proxycard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both"/>
        <w:rPr>
          <w:rFonts w:ascii="Times New Roman;Times;serif" w:hAnsi="Times New Roman;Times;serif"/>
          <w:color w:val="FFFFFF"/>
          <w:sz w:val="2"/>
        </w:rPr>
      </w:pPr>
      <w:r>
        <w:rPr>
          <w:rFonts w:ascii="Times New Roman;Times;serif" w:hAnsi="Times New Roman;Times;serif"/>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MOONLAKE IMMUNOTHERAPEUTICS DORFSTRASSE 29 ZUG, SWITZERLAND 6300 VOTE BY INTERNET - www.proxyvote.com or scan the QR Barcode above Use the Internet to transmit your voting instructions up until 11:59 p.m. Eastern Time on June 3, 2026. Have your proxy card in hand when you access the website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June 3, 2026. Have your proxy card in hand when you call and then follow the instructions. VOTE BY MAIL Mark, sign and date your proxy card and return it in the postage-paid envelope we have provided or return it to Vote Processing, c/o Broadridge, 51 Mercedes Way, Edgewood, NY 11717. V90797-P50459 For Against Abstain For Withhold ! ! ! ! ! ! ! ! ! MOONLAKE IMMUNOTHERAPEUTICS The Board of Directors recommends you vote FOR the following nominee: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The Board of Directors recommends you vote FOR Proposals 2, 3 and 4: 2. Ratification, by ordinary resolution, of the selection of Baker Tilly US, LLP as the Company’s independent registered public accounting firm for the year ending December 31, 2026. 3. Approval of, on a non-binding, advisory basis, the compensation of the Company's named executive officers. 4. Approval of an amendment and restatement of the Company's 2022 Equity Incentive Plan. NOTE: Such other business as may properly come before the meeting or any adjournments or postponements thereof. 1. Election of the Class I director nominee to serve until the 2029 Annual General Meeting of Shareholders and until his successor is duly elected and qualified. Nominee: 1a. Spike Loy ! ! SCAN TO VIEW MATERIALS &amp; VOTE w</w:t>
      </w:r>
      <w:r>
        <w:rPr>
          <w:rFonts w:ascii="Times New Roman;Times;serif" w:hAnsi="Times New Roman;Times;serif"/>
          <w:color w:val="000000"/>
          <w:sz w:val="2"/>
        </w:rPr>
        <w:t xml:space="preserve"> </w:t>
      </w:r>
    </w:p>
    <w:p>
      <w:pPr>
        <w:pStyle w:val="HorizontalLine"/>
        <w:bidi w:val="0"/>
        <w:spacing w:before="200" w:after="200"/>
        <w:jc w:val="left"/>
        <w:rPr/>
      </w:pPr>
      <w:r>
        <w:rPr/>
      </w:r>
    </w:p>
    <w:p>
      <w:pPr>
        <w:pStyle w:val="TextBody"/>
        <w:bidi w:val="0"/>
        <w:jc w:val="left"/>
        <w:rPr/>
      </w:pPr>
      <w:hyperlink w:anchor="TOC">
        <w:bookmarkStart w:id="85" w:name="ny20067252x1_def14a_300-proxycard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both"/>
        <w:rPr>
          <w:rFonts w:ascii="Times New Roman;Times;serif" w:hAnsi="Times New Roman;Times;serif"/>
          <w:color w:val="FFFFFF"/>
          <w:sz w:val="2"/>
        </w:rPr>
      </w:pPr>
      <w:r>
        <w:rPr>
          <w:rFonts w:ascii="Times New Roman;Times;serif" w:hAnsi="Times New Roman;Times;serif"/>
          <w:color w:val="FFFFFF"/>
          <w:sz w:val="2"/>
        </w:rPr>
        <w:t>V90798-P50459 MOONLAKE IMMUNOTHERAPEUTICS 2026 Annual General Meeting of Shareholders June 4, 2026 8:00 AM Eastern Time This proxy is solicited by the Board of Directors The shareholder(s) hereby appoint(s) Dr. Jorge Santos da Silva, Dr. Kristian Reich and Matthias Bodenstedt, or any of them, as proxies and attorneys-in-fact, each with the power to act without the others and with the power to appoint his substitute, and hereby authorize(s) them to represent and to vote, as designated on the reverse side of this card, all of the Class A ordinary shares of MOONLAKE IMMUNOTHERAPEUTICS that the shareholder(s) is/are entitled to vote at the 2026 Annual General Meeting of Shareholders to be held at the offices of Gibson, Dunn &amp; Crutcher LLP, located at 200 Park Avenue, New York, New York 10166 on Thursday, June 4, 2026 at 8:00 a.m. Eastern Time, and at any adjournments or postponements thereof. This proxy, when properly executed, will be voted in the manner directed herein. If no such direction is made but the card is signed, this proxy will be voted in accordance with the Board of Directors' recommendations and in the discretion of the proxies with respect to such other business as may properly come before the meeting or any adjournments or postponements thereof. In the event that the nominee named on the reverse side of this card is unavailable for election or unable to serve, the Class A ordinary shares represented by this proxy may be voted for a substitute nominee selected by the Board of Directors. Important Notice Regarding the Availability of Proxy Materials for the Annual General Meeting of Shareholders to be Held on June 4, 2026: The Notice, Proxy Statement and Annual Report are available at www.proxyvote.com. Continued and to be signed on reverse side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36422</Words>
  <Characters>194663</Characters>
  <CharactersWithSpaces>232028</CharactersWithSpaces>
  <Paragraphs>3414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