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right="1239"/>
        <w:spacing w:after="0" w:line="277" w:lineRule="auto"/>
        <w:rPr>
          <w:sz w:val="20"/>
          <w:szCs w:val="20"/>
          <w:color w:val="auto"/>
        </w:rPr>
      </w:pPr>
      <w:r>
        <w:rPr>
          <w:rFonts w:ascii="Times New Roman" w:cs="Times New Roman" w:eastAsia="Times New Roman" w:hAnsi="Times New Roman"/>
          <w:sz w:val="43"/>
          <w:szCs w:val="43"/>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52" w:lineRule="exact"/>
        <w:rPr>
          <w:sz w:val="24"/>
          <w:szCs w:val="24"/>
          <w:color w:val="auto"/>
        </w:rPr>
      </w:pPr>
    </w:p>
    <w:p>
      <w:pPr>
        <w:ind w:left="3520"/>
        <w:spacing w:after="0"/>
        <w:rPr>
          <w:sz w:val="20"/>
          <w:szCs w:val="20"/>
          <w:color w:val="auto"/>
        </w:rPr>
      </w:pPr>
      <w:r>
        <w:rPr>
          <w:rFonts w:ascii="Times New Roman" w:cs="Times New Roman" w:eastAsia="Times New Roman" w:hAnsi="Times New Roman"/>
          <w:sz w:val="22"/>
          <w:szCs w:val="22"/>
          <w:b w:val="1"/>
          <w:bCs w:val="1"/>
          <w:color w:val="auto"/>
        </w:rPr>
        <w:t xml:space="preserve">(Amendment No. </w:t>
      </w:r>
      <w:r>
        <w:rPr>
          <w:rFonts w:ascii="Times New Roman" w:cs="Times New Roman" w:eastAsia="Times New Roman" w:hAnsi="Times New Roman"/>
          <w:sz w:val="22"/>
          <w:szCs w:val="22"/>
          <w:b w:val="1"/>
          <w:bCs w:val="1"/>
          <w:color w:val="0000FF"/>
        </w:rPr>
        <w:t>1</w:t>
      </w:r>
      <w:r>
        <w:rPr>
          <w:rFonts w:ascii="Times New Roman" w:cs="Times New Roman" w:eastAsia="Times New Roman" w:hAnsi="Times New Roman"/>
          <w:sz w:val="22"/>
          <w:szCs w:val="22"/>
          <w:b w:val="1"/>
          <w:bCs w:val="1"/>
          <w:color w:val="auto"/>
        </w:rPr>
        <w:t>)*</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MoonLake Immunotherapeutics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Class A ordinary share, par value $0.0001 per share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412115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5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03/31/2026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Cormorant Asset Management, LP</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270"/>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DELAWARE</w:t>
      </w:r>
    </w:p>
    <w:p>
      <w:pPr>
        <w:sectPr>
          <w:pgSz w:w="11900" w:h="16838" w:orient="portrait"/>
          <w:cols w:equalWidth="0" w:num="1">
            <w:col w:w="10099"/>
          </w:cols>
          <w:pgMar w:left="360" w:top="866" w:right="1440" w:bottom="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ind w:left="280" w:right="7079" w:hanging="231"/>
        <w:spacing w:after="0" w:line="371" w:lineRule="auto"/>
        <w:tabs>
          <w:tab w:leader="none" w:pos="28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Voting Power 0.00</w:t>
      </w:r>
    </w:p>
    <w:p>
      <w:pPr>
        <w:spacing w:after="0" w:line="1"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4,480,433.00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4,480,433.00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4,480,433.00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6.25 %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IA, PN</w:t>
      </w:r>
    </w:p>
    <w:p>
      <w:pPr>
        <w:spacing w:after="0" w:line="200" w:lineRule="exact"/>
        <w:rPr>
          <w:sz w:val="20"/>
          <w:szCs w:val="20"/>
          <w:color w:val="auto"/>
        </w:rPr>
      </w:pPr>
    </w:p>
    <w:p>
      <w:pPr>
        <w:sectPr>
          <w:pgSz w:w="11900" w:h="16838" w:orient="portrait"/>
          <w:cols w:equalWidth="0" w:num="2">
            <w:col w:w="1060" w:space="60"/>
            <w:col w:w="8979"/>
          </w:cols>
          <w:pgMar w:left="360" w:top="111" w:right="1440" w:bottom="0" w:gutter="0" w:footer="0" w:header="0"/>
        </w:sect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Bihua Chen</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ectPr>
          <w:pgSz w:w="11900" w:h="16838" w:orient="portrait"/>
          <w:cols w:equalWidth="0" w:num="1">
            <w:col w:w="10099"/>
          </w:cols>
          <w:pgMar w:left="360" w:top="111" w:right="1440" w:bottom="0" w:gutter="0" w:footer="0" w:header="0"/>
          <w:type w:val="continuous"/>
        </w:sectPr>
      </w:pP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 w:lineRule="exact"/>
        <w:rPr>
          <w:sz w:val="20"/>
          <w:szCs w:val="20"/>
          <w:color w:val="auto"/>
        </w:rPr>
      </w:pPr>
      <w:r>
        <w:rPr>
          <w:sz w:val="20"/>
          <w:szCs w:val="20"/>
          <w:color w:val="auto"/>
        </w:rPr>
        <w:br w:type="column"/>
      </w:r>
    </w:p>
    <w:p>
      <w:pPr>
        <w:spacing w:after="0" w:line="238"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UNITED STATES</w:t>
      </w:r>
    </w:p>
    <w:p>
      <w:pPr>
        <w:spacing w:after="0" w:line="8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4,480,433.00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4,480,433.00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4,480,433.00</w:t>
      </w:r>
    </w:p>
    <w:p>
      <w:pPr>
        <w:spacing w:after="0" w:line="4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1" w:lineRule="exact"/>
        <w:rPr>
          <w:sz w:val="20"/>
          <w:szCs w:val="20"/>
          <w:color w:val="auto"/>
        </w:rPr>
      </w:pPr>
    </w:p>
    <w:p>
      <w:pPr>
        <w:sectPr>
          <w:pgSz w:w="11900" w:h="16838" w:orient="portrait"/>
          <w:cols w:equalWidth="0" w:num="2">
            <w:col w:w="1060" w:space="60"/>
            <w:col w:w="8979"/>
          </w:cols>
          <w:pgMar w:left="360" w:top="111" w:right="1440" w:bottom="0" w:gutter="0" w:footer="0" w:header="0"/>
          <w:type w:val="continuous"/>
        </w:sect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716915</wp:posOffset>
            </wp:positionH>
            <wp:positionV relativeFrom="paragraph">
              <wp:posOffset>12700</wp:posOffset>
            </wp:positionV>
            <wp:extent cx="128905" cy="12827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ectPr>
          <w:pgSz w:w="11900" w:h="16838" w:orient="portrait"/>
          <w:cols w:equalWidth="0" w:num="1">
            <w:col w:w="10099"/>
          </w:cols>
          <w:pgMar w:left="360" w:top="111" w:right="1440" w:bottom="0" w:gutter="0" w:footer="0" w:header="0"/>
          <w:type w:val="continuous"/>
        </w:sectPr>
      </w:pPr>
    </w:p>
    <w:bookmarkStart w:id="2" w:name="page3"/>
    <w:bookmarkEnd w:id="2"/>
    <w:p>
      <w:pPr>
        <w:ind w:left="1120" w:right="5640" w:hanging="1112"/>
        <w:spacing w:after="0" w:line="371" w:lineRule="auto"/>
        <w:tabs>
          <w:tab w:leader="none" w:pos="11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Percent of class represented by amount in row (9) 6.25 %</w:t>
      </w:r>
    </w:p>
    <w:p>
      <w:pPr>
        <w:spacing w:after="0" w:line="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ind w:left="1120"/>
        <w:spacing w:after="0"/>
        <w:rPr>
          <w:sz w:val="20"/>
          <w:szCs w:val="20"/>
          <w:color w:val="auto"/>
        </w:rPr>
      </w:pPr>
      <w:r>
        <w:rPr>
          <w:rFonts w:ascii="Times New Roman" w:cs="Times New Roman" w:eastAsia="Times New Roman" w:hAnsi="Times New Roman"/>
          <w:sz w:val="22"/>
          <w:szCs w:val="22"/>
          <w:color w:val="auto"/>
        </w:rPr>
        <w:t>HC, IN</w:t>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1.</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issuer:</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MoonLake Immunotherapeutics</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Dorfstrasse 29, 6300 Zug, Switzerland</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2.</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person filing:</w:t>
      </w:r>
    </w:p>
    <w:p>
      <w:pPr>
        <w:spacing w:after="0" w:line="233"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Cormorant Asset Management, LP Bihua Chen This statement is filed by (i) Cormorant Asset Management, LP, a</w:t>
      </w:r>
    </w:p>
    <w:p>
      <w:pPr>
        <w:spacing w:after="0" w:line="14" w:lineRule="exact"/>
        <w:rPr>
          <w:sz w:val="20"/>
          <w:szCs w:val="20"/>
          <w:color w:val="auto"/>
        </w:rPr>
      </w:pPr>
    </w:p>
    <w:p>
      <w:pPr>
        <w:ind w:left="920" w:hanging="912"/>
        <w:spacing w:after="0" w:line="203" w:lineRule="auto"/>
        <w:tabs>
          <w:tab w:leader="none" w:pos="920" w:val="left"/>
        </w:tabs>
        <w:numPr>
          <w:ilvl w:val="0"/>
          <w:numId w:val="5"/>
        </w:numPr>
        <w:rPr>
          <w:rFonts w:ascii="Times New Roman" w:cs="Times New Roman" w:eastAsia="Times New Roman" w:hAnsi="Times New Roman"/>
          <w:sz w:val="42"/>
          <w:szCs w:val="42"/>
          <w:color w:val="auto"/>
          <w:vertAlign w:val="subscript"/>
        </w:rPr>
      </w:pPr>
      <w:r>
        <w:rPr>
          <w:rFonts w:ascii="Times New Roman" w:cs="Times New Roman" w:eastAsia="Times New Roman" w:hAnsi="Times New Roman"/>
          <w:sz w:val="21"/>
          <w:szCs w:val="21"/>
          <w:color w:val="auto"/>
        </w:rPr>
        <w:t>Delaware limited partnership, and the investment adviser to certain funds (the "Cormorant Funds"), with respect to the shares directly held by the Cormorant Funds and (ii) Bihua Chen with respect to the shares directly held by the Cormorant Funds. The foregoing persons are hereinafter sometimes collectively referred to as the "Reporting Persons." The filing of this statement should not be construed as an admission that any of the foregoing persons or any Reporting Person is, for the purposes of Section 13 of the Act, the beneficial owner of the shares reported herein.</w:t>
      </w:r>
    </w:p>
    <w:p>
      <w:pPr>
        <w:sectPr>
          <w:pgSz w:w="11900" w:h="16838" w:orient="portrait"/>
          <w:cols w:equalWidth="0" w:num="1">
            <w:col w:w="11060"/>
          </w:cols>
          <w:pgMar w:left="360" w:top="111" w:right="479" w:bottom="0" w:gutter="0" w:footer="0" w:header="0"/>
        </w:sectPr>
      </w:pPr>
    </w:p>
    <w:p>
      <w:pPr>
        <w:spacing w:after="0" w:line="26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w:t>
      </w: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3.</w:t>
      </w:r>
    </w:p>
    <w:p>
      <w:pPr>
        <w:spacing w:after="0" w:line="5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(f)</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(g)</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(h)</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(j)</w:t>
      </w:r>
    </w:p>
    <w:p>
      <w:pPr>
        <w:spacing w:after="0" w:line="30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(k)</w:t>
      </w:r>
    </w:p>
    <w:p>
      <w:pPr>
        <w:spacing w:after="0" w:line="35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4.</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2"/>
          <w:szCs w:val="22"/>
          <w:color w:val="auto"/>
        </w:rPr>
        <w:t>Address or principal business office or, if none, residence:</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200 Clarendon Street, 52nd Floor Boston, MA 02116</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w:t>
      </w:r>
    </w:p>
    <w:p>
      <w:pPr>
        <w:spacing w:after="0" w:line="233" w:lineRule="exact"/>
        <w:rPr>
          <w:sz w:val="20"/>
          <w:szCs w:val="20"/>
          <w:color w:val="auto"/>
        </w:rPr>
      </w:pPr>
    </w:p>
    <w:p>
      <w:pPr>
        <w:ind w:right="3700"/>
        <w:spacing w:after="0" w:line="309" w:lineRule="auto"/>
        <w:rPr>
          <w:sz w:val="20"/>
          <w:szCs w:val="20"/>
          <w:color w:val="auto"/>
        </w:rPr>
      </w:pPr>
      <w:r>
        <w:rPr>
          <w:rFonts w:ascii="Times New Roman" w:cs="Times New Roman" w:eastAsia="Times New Roman" w:hAnsi="Times New Roman"/>
          <w:sz w:val="22"/>
          <w:szCs w:val="22"/>
          <w:color w:val="auto"/>
        </w:rPr>
        <w:t>Cormorant Asset Management, LP - Delaware Bihua Chen - United States Title of class of securities:</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Class A ordinary share, par value $0.0001 per share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CUSIP No.:</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If this statement is filed pursuant to §§ 240.13d-1(b) or 240.13d-2(b) or (c), check whether the person filing is a:</w:t>
      </w:r>
    </w:p>
    <w:p>
      <w:pPr>
        <w:spacing w:after="0" w:line="6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Broker or dealer registered under section 15 of the Act (15 U.S.C. 78o);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Bank as defined in section 3(a)(6) of the Act (15 U.S.C. 78c);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Insurance company as defined in section 3(a)(19) of the Act (15 U.S.C. 78c);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1"/>
          <w:szCs w:val="21"/>
          <w:color w:val="auto"/>
        </w:rPr>
        <w:t>Investment company registered under section 8 of the Investment Company Act of 1940 (15 U.S.C. 80a-8);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-144145</wp:posOffset>
            </wp:positionV>
            <wp:extent cx="128905" cy="12890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49"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An investment adviser in accordance with § 240.13d-1(b)(1)(ii)(E);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An employee benefit plan or endowment fund in accordance with § 240.13d-1(b)(1)(ii)(F);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27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pacing w:after="0" w:line="3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 parent holding company or control person in accordance with § 240.13d-1(b)(1)(ii)(G);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 savings associations as defined in Section 3(b) of the Federal Deposit Insurance Act (12 U.S.C. 1813);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right="600"/>
        <w:spacing w:after="0" w:line="258" w:lineRule="auto"/>
        <w:rPr>
          <w:sz w:val="20"/>
          <w:szCs w:val="20"/>
          <w:color w:val="auto"/>
        </w:rPr>
      </w:pPr>
      <w:r>
        <w:rPr>
          <w:sz w:val="1"/>
          <w:szCs w:val="1"/>
          <w:color w:val="auto"/>
        </w:rPr>
        <w:drawing>
          <wp:inline distT="0" distB="0" distL="0" distR="0">
            <wp:extent cx="128905" cy="128905"/>
            <wp:effectExtent l="0" t="0" r="0" b="0"/>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church plan that is excluded from the definition of an investment company under section 3(c)(14) of the Investment Company Act of 1940 (15 U.S.C. 80a-3);</w:t>
      </w:r>
    </w:p>
    <w:p>
      <w:pPr>
        <w:spacing w:after="0" w:line="10" w:lineRule="exact"/>
        <w:rPr>
          <w:sz w:val="20"/>
          <w:szCs w:val="20"/>
          <w:color w:val="auto"/>
        </w:rPr>
      </w:pPr>
    </w:p>
    <w:p>
      <w:pPr>
        <w:ind w:right="940"/>
        <w:spacing w:after="0" w:line="241" w:lineRule="auto"/>
        <w:rPr>
          <w:sz w:val="20"/>
          <w:szCs w:val="20"/>
          <w:color w:val="auto"/>
        </w:rPr>
      </w:pPr>
      <w:r>
        <w:rPr>
          <w:sz w:val="1"/>
          <w:szCs w:val="1"/>
          <w:color w:val="auto"/>
        </w:rPr>
        <w:drawing>
          <wp:inline distT="0" distB="0" distL="0" distR="0">
            <wp:extent cx="128905" cy="128905"/>
            <wp:effectExtent l="0" t="0" r="0" b="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non-U.S. institution in accordance with § 240.13d-1(b)(1)(ii)(J). If filing as a non-U.S. institution in accordance with § 240.13d-1(b)(1)(ii)(J),</w:t>
      </w:r>
    </w:p>
    <w:p>
      <w:pPr>
        <w:spacing w:after="0" w:line="2"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please specify the type of institution:</w:t>
      </w:r>
    </w:p>
    <w:p>
      <w:pPr>
        <w:spacing w:after="0" w:line="34"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Group, in accordance with Rule 240.13d-1(b)(1)(ii)(K).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2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Amount beneficially owned:</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4,480,433</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6.25% %</w:t>
      </w:r>
    </w:p>
    <w:p>
      <w:pPr>
        <w:sectPr>
          <w:pgSz w:w="11900" w:h="16838" w:orient="portrait"/>
          <w:cols w:equalWidth="0" w:num="2">
            <w:col w:w="620" w:space="300"/>
            <w:col w:w="10140"/>
          </w:cols>
          <w:pgMar w:left="360" w:top="111" w:right="479" w:bottom="0" w:gutter="0" w:footer="0" w:header="0"/>
          <w:type w:val="continuous"/>
        </w:sectPr>
      </w:pPr>
    </w:p>
    <w:bookmarkStart w:id="3" w:name="page4"/>
    <w:bookmarkEnd w:id="3"/>
    <w:p>
      <w:pPr>
        <w:ind w:left="920" w:hanging="912"/>
        <w:spacing w:after="0"/>
        <w:tabs>
          <w:tab w:leader="none" w:pos="920" w:val="left"/>
        </w:tabs>
        <w:numPr>
          <w:ilvl w:val="0"/>
          <w:numId w:val="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Number of shares as to which the person has:</w:t>
      </w:r>
    </w:p>
    <w:p>
      <w:pPr>
        <w:sectPr>
          <w:pgSz w:w="11900" w:h="16838" w:orient="portrait"/>
          <w:cols w:equalWidth="0" w:num="1">
            <w:col w:w="11140"/>
          </w:cols>
          <w:pgMar w:left="360" w:top="112" w:right="399" w:bottom="713"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5.</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6.</w:t>
      </w: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7.</w:t>
      </w: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8.</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9.</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10.</w:t>
      </w:r>
    </w:p>
    <w:p>
      <w:pPr>
        <w:spacing w:after="0" w:line="20" w:lineRule="exact"/>
        <w:rPr>
          <w:sz w:val="20"/>
          <w:szCs w:val="20"/>
          <w:color w:val="auto"/>
        </w:rPr>
      </w:pPr>
      <w:r>
        <w:rPr>
          <w:sz w:val="20"/>
          <w:szCs w:val="20"/>
          <w:color w:val="auto"/>
        </w:rPr>
        <w:br w:type="column"/>
      </w:r>
    </w:p>
    <w:p>
      <w:pPr>
        <w:spacing w:after="0" w:line="36" w:lineRule="exact"/>
        <w:rPr>
          <w:sz w:val="20"/>
          <w:szCs w:val="20"/>
          <w:color w:val="auto"/>
        </w:rPr>
      </w:pPr>
    </w:p>
    <w:p>
      <w:pPr>
        <w:ind w:left="260" w:hanging="254"/>
        <w:spacing w:after="0"/>
        <w:tabs>
          <w:tab w:leader="none" w:pos="26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vote or to direct the vote:</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ind w:right="6240" w:firstLine="6"/>
        <w:spacing w:after="0" w:line="486" w:lineRule="auto"/>
        <w:tabs>
          <w:tab w:leader="none" w:pos="318"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vote or to direct the vote: 4,480,433</w:t>
      </w:r>
    </w:p>
    <w:p>
      <w:pPr>
        <w:spacing w:after="0" w:line="1" w:lineRule="exact"/>
        <w:rPr>
          <w:rFonts w:ascii="Times New Roman" w:cs="Times New Roman" w:eastAsia="Times New Roman" w:hAnsi="Times New Roman"/>
          <w:sz w:val="22"/>
          <w:szCs w:val="22"/>
          <w:color w:val="auto"/>
        </w:rPr>
      </w:pPr>
    </w:p>
    <w:p>
      <w:pPr>
        <w:ind w:left="380" w:hanging="374"/>
        <w:spacing w:after="0"/>
        <w:tabs>
          <w:tab w:leader="none" w:pos="38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dispose or to direct the disposition of:</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ind w:left="380" w:hanging="374"/>
        <w:spacing w:after="0"/>
        <w:tabs>
          <w:tab w:leader="none" w:pos="38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dispose or to direct the disposition of:</w:t>
      </w:r>
    </w:p>
    <w:p>
      <w:pPr>
        <w:spacing w:after="0" w:line="233" w:lineRule="exact"/>
        <w:rPr>
          <w:sz w:val="20"/>
          <w:szCs w:val="20"/>
          <w:color w:val="auto"/>
        </w:rPr>
      </w:pPr>
    </w:p>
    <w:p>
      <w:pPr>
        <w:ind w:right="120"/>
        <w:spacing w:after="0" w:line="239" w:lineRule="auto"/>
        <w:rPr>
          <w:sz w:val="20"/>
          <w:szCs w:val="20"/>
          <w:color w:val="auto"/>
        </w:rPr>
      </w:pPr>
      <w:r>
        <w:rPr>
          <w:rFonts w:ascii="Times New Roman" w:cs="Times New Roman" w:eastAsia="Times New Roman" w:hAnsi="Times New Roman"/>
          <w:sz w:val="22"/>
          <w:szCs w:val="22"/>
          <w:color w:val="auto"/>
        </w:rPr>
        <w:t>4,480,433 The percentages reported herein with respect to the Reporting Persons' holdings are calculated based upon a statement in the Issuer's Annual Report on Form 10-K for the fiscal year ended December 31, 2025, as filed with the Securities and Exchange Commission on February 25, 2026, that there were 71,727,875 shares of Class A Ordinary Shares of the Issuer outstanding as of February 1, 2026.</w:t>
      </w:r>
    </w:p>
    <w:p>
      <w:pPr>
        <w:spacing w:after="0" w:line="26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5 Percent or Less of a Class.</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more than 5 Percent on Behalf of Another Person.</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ind w:right="46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Identification and Classification of Members of the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Notice of Dissolution of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31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2"/>
          <w:szCs w:val="22"/>
          <w:color w:val="auto"/>
        </w:rPr>
        <w:t>Certifications:</w:t>
      </w:r>
    </w:p>
    <w:p>
      <w:pPr>
        <w:spacing w:after="0" w:line="44" w:lineRule="exact"/>
        <w:rPr>
          <w:sz w:val="20"/>
          <w:szCs w:val="20"/>
          <w:color w:val="auto"/>
        </w:rPr>
      </w:pPr>
    </w:p>
    <w:p>
      <w:pPr>
        <w:sectPr>
          <w:pgSz w:w="11900" w:h="16838" w:orient="portrait"/>
          <w:cols w:equalWidth="0" w:num="2">
            <w:col w:w="720" w:space="200"/>
            <w:col w:w="10220"/>
          </w:cols>
          <w:pgMar w:left="360" w:top="112" w:right="399" w:bottom="713" w:gutter="0" w:footer="0" w:header="0"/>
          <w:type w:val="continuous"/>
        </w:sectPr>
      </w:pPr>
    </w:p>
    <w:p>
      <w:pPr>
        <w:ind w:left="940" w:right="40"/>
        <w:spacing w:after="0" w:line="238" w:lineRule="auto"/>
        <w:rPr>
          <w:sz w:val="20"/>
          <w:szCs w:val="20"/>
          <w:color w:val="auto"/>
        </w:rPr>
      </w:pPr>
      <w:r>
        <w:rPr>
          <w:rFonts w:ascii="Times New Roman" w:cs="Times New Roman" w:eastAsia="Times New Roman" w:hAnsi="Times New Roman"/>
          <w:sz w:val="22"/>
          <w:szCs w:val="22"/>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285"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48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3200"/>
        <w:spacing w:after="0"/>
        <w:rPr>
          <w:sz w:val="20"/>
          <w:szCs w:val="20"/>
          <w:color w:val="auto"/>
        </w:rPr>
      </w:pPr>
      <w:r>
        <w:rPr>
          <w:rFonts w:ascii="Times New Roman" w:cs="Times New Roman" w:eastAsia="Times New Roman" w:hAnsi="Times New Roman"/>
          <w:sz w:val="22"/>
          <w:szCs w:val="22"/>
          <w:color w:val="auto"/>
        </w:rPr>
        <w:t>Cormorant Asset Management, LP</w:t>
      </w:r>
    </w:p>
    <w:p>
      <w:pPr>
        <w:spacing w:after="0" w:line="152" w:lineRule="exact"/>
        <w:rPr>
          <w:sz w:val="20"/>
          <w:szCs w:val="20"/>
          <w:color w:val="auto"/>
        </w:rPr>
      </w:pPr>
    </w:p>
    <w:p>
      <w:pPr>
        <w:ind w:left="4080"/>
        <w:spacing w:after="0"/>
        <w:tabs>
          <w:tab w:leader="none" w:pos="516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Bihua Chen</w:t>
      </w:r>
    </w:p>
    <w:p>
      <w:pPr>
        <w:spacing w:after="0" w:line="44" w:lineRule="exact"/>
        <w:rPr>
          <w:sz w:val="20"/>
          <w:szCs w:val="20"/>
          <w:color w:val="auto"/>
        </w:rPr>
      </w:pPr>
    </w:p>
    <w:p>
      <w:pPr>
        <w:ind w:left="4080"/>
        <w:spacing w:after="0"/>
        <w:rPr>
          <w:sz w:val="20"/>
          <w:szCs w:val="20"/>
          <w:color w:val="auto"/>
        </w:rPr>
      </w:pPr>
      <w:r>
        <w:rPr>
          <w:rFonts w:ascii="Times New Roman" w:cs="Times New Roman" w:eastAsia="Times New Roman" w:hAnsi="Times New Roman"/>
          <w:sz w:val="22"/>
          <w:szCs w:val="22"/>
          <w:color w:val="auto"/>
        </w:rPr>
        <w:t>Name/Title: Bihua Chen, Managing Member</w:t>
      </w:r>
    </w:p>
    <w:p>
      <w:pPr>
        <w:spacing w:after="0" w:line="44" w:lineRule="exact"/>
        <w:rPr>
          <w:sz w:val="20"/>
          <w:szCs w:val="20"/>
          <w:color w:val="auto"/>
        </w:rPr>
      </w:pPr>
    </w:p>
    <w:p>
      <w:pPr>
        <w:ind w:left="4080"/>
        <w:spacing w:after="0"/>
        <w:tabs>
          <w:tab w:leader="none" w:pos="516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05/15/2026</w:t>
      </w:r>
    </w:p>
    <w:p>
      <w:pPr>
        <w:spacing w:after="0" w:line="152" w:lineRule="exact"/>
        <w:rPr>
          <w:sz w:val="20"/>
          <w:szCs w:val="20"/>
          <w:color w:val="auto"/>
        </w:rPr>
      </w:pPr>
    </w:p>
    <w:p>
      <w:pPr>
        <w:ind w:left="1220"/>
        <w:spacing w:after="0"/>
        <w:rPr>
          <w:sz w:val="20"/>
          <w:szCs w:val="20"/>
          <w:color w:val="auto"/>
        </w:rPr>
      </w:pPr>
      <w:r>
        <w:rPr>
          <w:rFonts w:ascii="Times New Roman" w:cs="Times New Roman" w:eastAsia="Times New Roman" w:hAnsi="Times New Roman"/>
          <w:sz w:val="22"/>
          <w:szCs w:val="22"/>
          <w:color w:val="auto"/>
        </w:rPr>
        <w:t>Bihua Chen</w:t>
      </w:r>
    </w:p>
    <w:p>
      <w:pPr>
        <w:spacing w:after="0" w:line="152" w:lineRule="exact"/>
        <w:rPr>
          <w:sz w:val="20"/>
          <w:szCs w:val="20"/>
          <w:color w:val="auto"/>
        </w:rPr>
      </w:pPr>
    </w:p>
    <w:p>
      <w:pPr>
        <w:ind w:left="2580"/>
        <w:spacing w:after="0"/>
        <w:tabs>
          <w:tab w:leader="none" w:pos="364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Bihua Chen</w:t>
      </w:r>
    </w:p>
    <w:p>
      <w:pPr>
        <w:spacing w:after="0" w:line="44" w:lineRule="exact"/>
        <w:rPr>
          <w:sz w:val="20"/>
          <w:szCs w:val="20"/>
          <w:color w:val="auto"/>
        </w:rPr>
      </w:pPr>
    </w:p>
    <w:p>
      <w:pPr>
        <w:ind w:left="2580"/>
        <w:spacing w:after="0"/>
        <w:rPr>
          <w:sz w:val="20"/>
          <w:szCs w:val="20"/>
          <w:color w:val="auto"/>
        </w:rPr>
      </w:pPr>
      <w:r>
        <w:rPr>
          <w:rFonts w:ascii="Times New Roman" w:cs="Times New Roman" w:eastAsia="Times New Roman" w:hAnsi="Times New Roman"/>
          <w:sz w:val="22"/>
          <w:szCs w:val="22"/>
          <w:color w:val="auto"/>
        </w:rPr>
        <w:t>Name/Title: Bihua Chen</w:t>
      </w:r>
    </w:p>
    <w:p>
      <w:pPr>
        <w:spacing w:after="0" w:line="44" w:lineRule="exact"/>
        <w:rPr>
          <w:sz w:val="20"/>
          <w:szCs w:val="20"/>
          <w:color w:val="auto"/>
        </w:rPr>
      </w:pPr>
    </w:p>
    <w:p>
      <w:pPr>
        <w:ind w:left="2580"/>
        <w:spacing w:after="0"/>
        <w:tabs>
          <w:tab w:leader="none" w:pos="364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05/15/2026</w:t>
      </w:r>
    </w:p>
    <w:p>
      <w:pPr>
        <w:spacing w:after="0" w:line="108"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22"/>
          <w:szCs w:val="22"/>
          <w:b w:val="1"/>
          <w:bCs w:val="1"/>
          <w:color w:val="auto"/>
        </w:rPr>
        <w:t>Exhibit Information</w:t>
      </w:r>
    </w:p>
    <w:p>
      <w:pPr>
        <w:spacing w:after="0" w:line="291" w:lineRule="exact"/>
        <w:rPr>
          <w:sz w:val="20"/>
          <w:szCs w:val="20"/>
          <w:color w:val="auto"/>
        </w:rPr>
      </w:pPr>
    </w:p>
    <w:p>
      <w:pPr>
        <w:ind w:right="540"/>
        <w:spacing w:after="0" w:line="258" w:lineRule="auto"/>
        <w:rPr>
          <w:sz w:val="20"/>
          <w:szCs w:val="20"/>
          <w:color w:val="auto"/>
        </w:rPr>
      </w:pPr>
      <w:r>
        <w:rPr>
          <w:rFonts w:ascii="Times New Roman" w:cs="Times New Roman" w:eastAsia="Times New Roman" w:hAnsi="Times New Roman"/>
          <w:sz w:val="22"/>
          <w:szCs w:val="22"/>
          <w:color w:val="auto"/>
        </w:rPr>
        <w:t>Joint Filing Statement, incorporated by reference to the Joint Filing Statement included with the Schedule 13G filed by the Reporting Persons on February 17, 2026.</w:t>
      </w:r>
    </w:p>
    <w:sectPr>
      <w:pgSz w:w="11900" w:h="16838" w:orient="portrait"/>
      <w:cols w:equalWidth="0" w:num="1">
        <w:col w:w="11140"/>
      </w:cols>
      <w:pgMar w:left="360" w:top="112" w:right="399" w:bottom="713"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625558EC"/>
    <w:multiLevelType w:val="hybridMultilevel"/>
    <w:lvl w:ilvl="0">
      <w:lvlJc w:val="left"/>
      <w:lvlText w:val="2"/>
      <w:numFmt w:val="bullet"/>
      <w:start w:val="1"/>
    </w:lvl>
  </w:abstractNum>
  <w:abstractNum w:abstractNumId="1">
    <w:nsid w:val="238E1F29"/>
    <w:multiLevelType w:val="hybridMultilevel"/>
    <w:lvl w:ilvl="0">
      <w:lvlJc w:val="left"/>
      <w:lvlText w:val="3"/>
      <w:numFmt w:val="bullet"/>
      <w:start w:val="1"/>
    </w:lvl>
  </w:abstractNum>
  <w:abstractNum w:abstractNumId="2">
    <w:nsid w:val="46E87CCD"/>
    <w:multiLevelType w:val="hybridMultilevel"/>
    <w:lvl w:ilvl="0">
      <w:lvlJc w:val="left"/>
      <w:lvlText w:val="5"/>
      <w:numFmt w:val="bullet"/>
      <w:start w:val="1"/>
    </w:lvl>
  </w:abstractNum>
  <w:abstractNum w:abstractNumId="3">
    <w:nsid w:val="3D1B58BA"/>
    <w:multiLevelType w:val="hybridMultilevel"/>
    <w:lvl w:ilvl="0">
      <w:lvlJc w:val="left"/>
      <w:lvlText w:val="%1"/>
      <w:numFmt w:val="decimal"/>
      <w:start w:val="11"/>
    </w:lvl>
  </w:abstractNum>
  <w:abstractNum w:abstractNumId="4">
    <w:nsid w:val="507ED7AB"/>
    <w:multiLevelType w:val="hybridMultilevel"/>
    <w:lvl w:ilvl="0">
      <w:lvlJc w:val="left"/>
      <w:lvlText w:val="(%1)"/>
      <w:numFmt w:val="lowerLetter"/>
      <w:start w:val="1"/>
    </w:lvl>
  </w:abstractNum>
  <w:abstractNum w:abstractNumId="5">
    <w:nsid w:val="2EB141F2"/>
    <w:multiLevelType w:val="hybridMultilevel"/>
    <w:lvl w:ilvl="0">
      <w:lvlJc w:val="left"/>
      <w:lvlText w:val="(%1)"/>
      <w:numFmt w:val="lowerLetter"/>
      <w:start w:val="3"/>
    </w:lvl>
  </w:abstractNum>
  <w:abstractNum w:abstractNumId="6">
    <w:nsid w:val="41B71EFB"/>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 Id="rId33" Type="http://schemas.openxmlformats.org/officeDocument/2006/relationships/image" Target="media/image26.jpeg"/><Relationship Id="rId34" Type="http://schemas.openxmlformats.org/officeDocument/2006/relationships/image" Target="media/image27.jpeg"/><Relationship Id="rId35" Type="http://schemas.openxmlformats.org/officeDocument/2006/relationships/image" Target="media/image28.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2026-05-15T12:27:54Z</dcterms:created>
  <dcterms:modified xsi:type="dcterms:W3CDTF">2026-05-15T12:27:54Z</dcterms:modified>
</cp:coreProperties>
</file>