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58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2840" w:type="dxa"/>
            <w:vAlign w:val="bottom"/>
          </w:tcPr>
          <w:p>
            <w:pPr>
              <w:spacing w:after="0"/>
              <w:rPr>
                <w:sz w:val="20"/>
                <w:szCs w:val="20"/>
                <w:color w:val="auto"/>
              </w:rPr>
            </w:pPr>
          </w:p>
        </w:tc>
      </w:tr>
      <w:tr>
        <w:trPr>
          <w:trHeight w:val="432"/>
        </w:trPr>
        <w:tc>
          <w:tcPr>
            <w:tcW w:w="3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8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2840" w:type="dxa"/>
            <w:vAlign w:val="bottom"/>
          </w:tcPr>
          <w:p>
            <w:pPr>
              <w:spacing w:after="0"/>
              <w:rPr>
                <w:sz w:val="24"/>
                <w:szCs w:val="24"/>
                <w:color w:val="auto"/>
              </w:rPr>
            </w:pPr>
          </w:p>
        </w:tc>
      </w:tr>
      <w:tr>
        <w:trPr>
          <w:trHeight w:val="410"/>
        </w:trPr>
        <w:tc>
          <w:tcPr>
            <w:tcW w:w="3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8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tc>
        <w:tc>
          <w:tcPr>
            <w:tcW w:w="2840" w:type="dxa"/>
            <w:vAlign w:val="bottom"/>
          </w:tcPr>
          <w:p>
            <w:pPr>
              <w:spacing w:after="0"/>
              <w:rPr>
                <w:sz w:val="24"/>
                <w:szCs w:val="24"/>
                <w:color w:val="auto"/>
              </w:rPr>
            </w:pPr>
          </w:p>
        </w:tc>
      </w:tr>
      <w:tr>
        <w:trPr>
          <w:trHeight w:val="238"/>
        </w:trPr>
        <w:tc>
          <w:tcPr>
            <w:tcW w:w="3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580" w:type="dxa"/>
            <w:vAlign w:val="bottom"/>
            <w:gridSpan w:val="3"/>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w w:val="99"/>
              </w:rPr>
              <w:t>of the Securities Exchange Act of 1934</w:t>
            </w:r>
          </w:p>
        </w:tc>
        <w:tc>
          <w:tcPr>
            <w:tcW w:w="2840" w:type="dxa"/>
            <w:vAlign w:val="bottom"/>
          </w:tcPr>
          <w:p>
            <w:pPr>
              <w:spacing w:after="0"/>
              <w:rPr>
                <w:sz w:val="20"/>
                <w:szCs w:val="20"/>
                <w:color w:val="auto"/>
              </w:rPr>
            </w:pPr>
          </w:p>
        </w:tc>
      </w:tr>
      <w:tr>
        <w:trPr>
          <w:trHeight w:val="432"/>
        </w:trPr>
        <w:tc>
          <w:tcPr>
            <w:tcW w:w="3000" w:type="dxa"/>
            <w:vAlign w:val="bottom"/>
          </w:tcPr>
          <w:p>
            <w:pPr>
              <w:spacing w:after="0"/>
              <w:rPr>
                <w:sz w:val="24"/>
                <w:szCs w:val="24"/>
                <w:color w:val="auto"/>
              </w:rPr>
            </w:pPr>
          </w:p>
        </w:tc>
        <w:tc>
          <w:tcPr>
            <w:tcW w:w="540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Date of Report (Date of earliest event reported): June 23, 2026</w:t>
            </w:r>
          </w:p>
        </w:tc>
        <w:tc>
          <w:tcPr>
            <w:tcW w:w="2840" w:type="dxa"/>
            <w:vAlign w:val="bottom"/>
          </w:tcPr>
          <w:p>
            <w:pPr>
              <w:spacing w:after="0"/>
              <w:rPr>
                <w:sz w:val="24"/>
                <w:szCs w:val="24"/>
                <w:color w:val="auto"/>
              </w:rPr>
            </w:pPr>
          </w:p>
        </w:tc>
      </w:tr>
      <w:tr>
        <w:trPr>
          <w:trHeight w:val="410"/>
        </w:trPr>
        <w:tc>
          <w:tcPr>
            <w:tcW w:w="3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8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9"/>
              </w:rPr>
              <w:t>MOONLAKE IMMUNOTHERAPEUTICS</w:t>
            </w:r>
          </w:p>
        </w:tc>
        <w:tc>
          <w:tcPr>
            <w:tcW w:w="2840" w:type="dxa"/>
            <w:vAlign w:val="bottom"/>
          </w:tcPr>
          <w:p>
            <w:pPr>
              <w:spacing w:after="0"/>
              <w:rPr>
                <w:sz w:val="24"/>
                <w:szCs w:val="24"/>
                <w:color w:val="auto"/>
              </w:rPr>
            </w:pPr>
          </w:p>
        </w:tc>
      </w:tr>
      <w:tr>
        <w:trPr>
          <w:trHeight w:val="238"/>
        </w:trPr>
        <w:tc>
          <w:tcPr>
            <w:tcW w:w="3000" w:type="dxa"/>
            <w:vAlign w:val="bottom"/>
          </w:tcPr>
          <w:p>
            <w:pPr>
              <w:spacing w:after="0"/>
              <w:rPr>
                <w:sz w:val="20"/>
                <w:szCs w:val="20"/>
                <w:color w:val="auto"/>
              </w:rPr>
            </w:pPr>
          </w:p>
        </w:tc>
        <w:tc>
          <w:tcPr>
            <w:tcW w:w="540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2840" w:type="dxa"/>
            <w:vAlign w:val="bottom"/>
          </w:tcPr>
          <w:p>
            <w:pPr>
              <w:spacing w:after="0"/>
              <w:rPr>
                <w:sz w:val="20"/>
                <w:szCs w:val="20"/>
                <w:color w:val="auto"/>
              </w:rPr>
            </w:pPr>
          </w:p>
        </w:tc>
      </w:tr>
      <w:tr>
        <w:trPr>
          <w:trHeight w:val="453"/>
        </w:trPr>
        <w:tc>
          <w:tcPr>
            <w:tcW w:w="3000" w:type="dxa"/>
            <w:vAlign w:val="bottom"/>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Cayman Islands</w:t>
            </w:r>
          </w:p>
        </w:tc>
        <w:tc>
          <w:tcPr>
            <w:tcW w:w="4400" w:type="dxa"/>
            <w:vAlign w:val="bottom"/>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001-39630</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40" w:type="dxa"/>
            <w:vAlign w:val="bottom"/>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8"/>
              </w:rPr>
              <w:t>98-1711963</w:t>
            </w:r>
          </w:p>
        </w:tc>
      </w:tr>
      <w:tr>
        <w:trPr>
          <w:trHeight w:val="198"/>
        </w:trPr>
        <w:tc>
          <w:tcPr>
            <w:tcW w:w="3000" w:type="dxa"/>
            <w:vAlign w:val="bottom"/>
            <w:tcBorders>
              <w:top w:val="single" w:sz="8" w:color="auto"/>
            </w:tcBorders>
          </w:tcPr>
          <w:p>
            <w:pPr>
              <w:jc w:val="center"/>
              <w:ind w:left="47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5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58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4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840" w:type="dxa"/>
            <w:vAlign w:val="bottom"/>
            <w:tcBorders>
              <w:top w:val="single" w:sz="8" w:color="auto"/>
            </w:tcBorders>
          </w:tcPr>
          <w:p>
            <w:pPr>
              <w:jc w:val="center"/>
              <w:ind w:right="65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00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rPr>
              <w:t>of Incorporation)</w:t>
            </w: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4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3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80" w:type="dxa"/>
            <w:vAlign w:val="bottom"/>
            <w:gridSpan w:val="3"/>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w w:val="99"/>
              </w:rPr>
              <w:t>Dorfstrasse 29</w:t>
            </w:r>
          </w:p>
        </w:tc>
        <w:tc>
          <w:tcPr>
            <w:tcW w:w="2840" w:type="dxa"/>
            <w:vAlign w:val="bottom"/>
          </w:tcPr>
          <w:p>
            <w:pPr>
              <w:spacing w:after="0"/>
              <w:rPr>
                <w:sz w:val="24"/>
                <w:szCs w:val="24"/>
                <w:color w:val="auto"/>
              </w:rPr>
            </w:pPr>
          </w:p>
        </w:tc>
      </w:tr>
      <w:tr>
        <w:trPr>
          <w:trHeight w:val="216"/>
        </w:trPr>
        <w:tc>
          <w:tcPr>
            <w:tcW w:w="3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58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6300 Zug</w:t>
            </w:r>
          </w:p>
        </w:tc>
        <w:tc>
          <w:tcPr>
            <w:tcW w:w="2840" w:type="dxa"/>
            <w:vAlign w:val="bottom"/>
          </w:tcPr>
          <w:p>
            <w:pPr>
              <w:spacing w:after="0"/>
              <w:rPr>
                <w:sz w:val="18"/>
                <w:szCs w:val="18"/>
                <w:color w:val="auto"/>
              </w:rPr>
            </w:pPr>
          </w:p>
        </w:tc>
      </w:tr>
      <w:tr>
        <w:trPr>
          <w:trHeight w:val="220"/>
        </w:trPr>
        <w:tc>
          <w:tcPr>
            <w:tcW w:w="3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58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9"/>
              </w:rPr>
              <w:t>Switzerland</w:t>
            </w:r>
          </w:p>
        </w:tc>
        <w:tc>
          <w:tcPr>
            <w:tcW w:w="2840" w:type="dxa"/>
            <w:vAlign w:val="bottom"/>
          </w:tcPr>
          <w:p>
            <w:pPr>
              <w:spacing w:after="0"/>
              <w:rPr>
                <w:sz w:val="19"/>
                <w:szCs w:val="19"/>
                <w:color w:val="auto"/>
              </w:rPr>
            </w:pPr>
          </w:p>
        </w:tc>
      </w:tr>
      <w:tr>
        <w:trPr>
          <w:trHeight w:val="234"/>
        </w:trPr>
        <w:tc>
          <w:tcPr>
            <w:tcW w:w="3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20" w:type="dxa"/>
            <w:vAlign w:val="bottom"/>
            <w:gridSpan w:val="4"/>
          </w:tcPr>
          <w:p>
            <w:pPr>
              <w:jc w:val="center"/>
              <w:ind w:right="740"/>
              <w:spacing w:after="0"/>
              <w:rPr>
                <w:sz w:val="20"/>
                <w:szCs w:val="20"/>
                <w:color w:val="auto"/>
              </w:rPr>
            </w:pPr>
            <w:r>
              <w:rPr>
                <w:rFonts w:ascii="Times New Roman" w:cs="Times New Roman" w:eastAsia="Times New Roman" w:hAnsi="Times New Roman"/>
                <w:sz w:val="18"/>
                <w:szCs w:val="18"/>
                <w:color w:val="auto"/>
                <w:w w:val="99"/>
              </w:rPr>
              <w:t>(Address of principal executive offices and Zip Code)</w:t>
            </w:r>
          </w:p>
        </w:tc>
        <w:tc>
          <w:tcPr>
            <w:tcW w:w="2840" w:type="dxa"/>
            <w:vAlign w:val="bottom"/>
          </w:tcPr>
          <w:p>
            <w:pPr>
              <w:spacing w:after="0"/>
              <w:rPr>
                <w:sz w:val="20"/>
                <w:szCs w:val="20"/>
                <w:color w:val="auto"/>
              </w:rPr>
            </w:pPr>
          </w:p>
        </w:tc>
      </w:tr>
      <w:tr>
        <w:trPr>
          <w:trHeight w:val="414"/>
        </w:trPr>
        <w:tc>
          <w:tcPr>
            <w:tcW w:w="3000" w:type="dxa"/>
            <w:vAlign w:val="bottom"/>
          </w:tcPr>
          <w:p>
            <w:pPr>
              <w:spacing w:after="0"/>
              <w:rPr>
                <w:sz w:val="24"/>
                <w:szCs w:val="24"/>
                <w:color w:val="auto"/>
              </w:rPr>
            </w:pPr>
          </w:p>
        </w:tc>
        <w:tc>
          <w:tcPr>
            <w:tcW w:w="440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rPr>
              <w:t>41 415108022</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34"/>
        </w:trPr>
        <w:tc>
          <w:tcPr>
            <w:tcW w:w="3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20" w:type="dxa"/>
            <w:vAlign w:val="bottom"/>
            <w:gridSpan w:val="4"/>
          </w:tcPr>
          <w:p>
            <w:pPr>
              <w:jc w:val="center"/>
              <w:ind w:right="74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840" w:type="dxa"/>
            <w:vAlign w:val="bottom"/>
          </w:tcPr>
          <w:p>
            <w:pPr>
              <w:spacing w:after="0"/>
              <w:rPr>
                <w:sz w:val="20"/>
                <w:szCs w:val="20"/>
                <w:color w:val="auto"/>
              </w:rPr>
            </w:pPr>
          </w:p>
        </w:tc>
      </w:tr>
      <w:tr>
        <w:trPr>
          <w:trHeight w:val="414"/>
        </w:trPr>
        <w:tc>
          <w:tcPr>
            <w:tcW w:w="3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8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N/A</w:t>
            </w:r>
          </w:p>
        </w:tc>
        <w:tc>
          <w:tcPr>
            <w:tcW w:w="2840" w:type="dxa"/>
            <w:vAlign w:val="bottom"/>
          </w:tcPr>
          <w:p>
            <w:pPr>
              <w:spacing w:after="0"/>
              <w:rPr>
                <w:sz w:val="24"/>
                <w:szCs w:val="24"/>
                <w:color w:val="auto"/>
              </w:rPr>
            </w:pPr>
          </w:p>
        </w:tc>
      </w:tr>
      <w:tr>
        <w:trPr>
          <w:trHeight w:val="234"/>
        </w:trPr>
        <w:tc>
          <w:tcPr>
            <w:tcW w:w="3000" w:type="dxa"/>
            <w:vAlign w:val="bottom"/>
          </w:tcPr>
          <w:p>
            <w:pPr>
              <w:spacing w:after="0"/>
              <w:rPr>
                <w:sz w:val="20"/>
                <w:szCs w:val="20"/>
                <w:color w:val="auto"/>
              </w:rPr>
            </w:pPr>
          </w:p>
        </w:tc>
        <w:tc>
          <w:tcPr>
            <w:tcW w:w="540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2840" w:type="dxa"/>
            <w:vAlign w:val="bottom"/>
          </w:tcPr>
          <w:p>
            <w:pPr>
              <w:spacing w:after="0"/>
              <w:rPr>
                <w:sz w:val="20"/>
                <w:szCs w:val="20"/>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6"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8"/>
        </w:trPr>
        <w:tc>
          <w:tcPr>
            <w:tcW w:w="362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Class A ordinary share, par value $0.0001 per</w:t>
            </w:r>
          </w:p>
        </w:tc>
        <w:tc>
          <w:tcPr>
            <w:tcW w:w="22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4"/>
              </w:rPr>
              <w:t>MLTX</w:t>
            </w:r>
          </w:p>
        </w:tc>
        <w:tc>
          <w:tcPr>
            <w:tcW w:w="20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The Nasdaq Capital Market</w:t>
            </w:r>
          </w:p>
        </w:tc>
      </w:tr>
      <w:tr>
        <w:trPr>
          <w:trHeight w:val="234"/>
        </w:trPr>
        <w:tc>
          <w:tcPr>
            <w:tcW w:w="3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share</w:t>
            </w:r>
          </w:p>
        </w:tc>
        <w:tc>
          <w:tcPr>
            <w:tcW w:w="3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June 23, 2026, MoonLake Immunotherapeutics (the “Company”) entered into an underwriting agreement (“Underwriting Agreement”) with Leerink Partners LLC, as the representative of the underwriters named therein (the “Underwriters”), to issue and sell, in a public offering (the “Offering”), 9,000,000 Class A ordinary shares, par value $0.0001 per share (the “Ordinary Shares”), at a public offering price of $20.00 per share (the “Firm Shares”), and, in lieu of Ordinary Shares to certain investors that so choose, pre-funded warrants to purchase up to 1,000,000 Ordinary Shares at a public offering price of $19.9999 per pre-funded warrant (the “Pre-Funded Warrants”). The Pre-Funded Warrants have an exercise price of $0.0001 per share and are exercisable immediately. In addition, the Company granted the Underwriters an option for a period of 30 days to purchase up to an additional 1,500,000 Ordinary Shares (the “Option Shares”, and together with the Firm Shares, the “Shares”) at the public offering price less the underwriting discounts and commissions (the “Option”). The Shares and the Pre-Funded Warrants are collectively referred to herein as the “Securities.”</w:t>
      </w:r>
    </w:p>
    <w:p>
      <w:pPr>
        <w:spacing w:after="0" w:line="19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exercise price and the number of Ordinary Shares issuable upon exercise of the Pre-Funded Warrants are subject to appropriate adjustments in the event of certain share dividends and distributions, share splits, share combinations, reclassifications or similar events affecting the Ordinary Shares. Holders of the Pre-Funded Warrants will not be entitled to exercise any portion of any Pre-Funded Warrant which, upon giving effect to such exercise, would cause the aggregate number of Ordinary Shares beneficially owned by the holder (together with its affiliates) to exceed 4.99% (or 9.99%) of the number of Ordinary Shares outstanding immediately after giving effect to the exercise, as such percentage ownership is determined in accordance with the terms of the Pre-Funded Warrants. Such percentage may be increased or decreased by the holder of the Pre-Funded Warrants to any other percentage not in excess of 19.99% upon at least 61 days’ prior notice from the holder to us.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gross proceeds from the Offering are expected to be $200 million before deducting underwriting discounts and offering expenses.</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Securities described above were offered pursuant to a shelf registration statement on Form S-3 (File No. 333-274286), which became effective on September 11, 2023. A final prospectus supplement dated June 23, 2026 relating to and describing the terms of the Offering was filed with the U.S. Securities and Exchange Commission on June 24, 2026. The Offering is expected to close on June 25, 2026, subject to the satisfaction of customary closing conditions.</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the Underwriting Agreement, the Company agreed to indemnify the Underwriters against certain liabilities, including liabilities under the Securities Act of 1933, as amended, or to contribute payments that the Underwriters may be required to make because of such liabilities.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copy of the Underwriting Agreement and the form of Pre-Funded Warrant are filed as Exhibits 1.1 and 4.1, respectively, and are incorporated herein by reference. The foregoing descriptions of the Underwriting Agreement and the Pre-Funded Warrants do not purport to be complete and are qualified in their entirety by reference to such exhibits.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Walkers (Cayman) LLP, Cayman counsel to the Company, has issued an opinion to the Company, dated June 24, 2026, regarding the validity of the issuance and sale of the Securities in the Offering. A copy of the opinion is filed herewith as Exhibit 5.1.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2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5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0"/>
        </w:trPr>
        <w:tc>
          <w:tcPr>
            <w:tcW w:w="1020" w:type="dxa"/>
            <w:vAlign w:val="bottom"/>
            <w:tcBorders>
              <w:top w:val="single" w:sz="8" w:color="auto"/>
              <w:bottom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8900" w:type="dxa"/>
            <w:vAlign w:val="bottom"/>
            <w:tcBorders>
              <w:top w:val="single" w:sz="8" w:color="auto"/>
              <w:bottom w:val="single" w:sz="8" w:color="0000EE"/>
            </w:tcBorders>
            <w:gridSpan w:val="4"/>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w w:val="99"/>
              </w:rPr>
              <w:t>Underwriting Agreement, dated June 23, 2026, by and between MoonLake Immunotherapeutics and Leerink Partners LLC.</w:t>
            </w:r>
          </w:p>
        </w:tc>
        <w:tc>
          <w:tcPr>
            <w:tcW w:w="1200" w:type="dxa"/>
            <w:vAlign w:val="bottom"/>
            <w:tcBorders>
              <w:top w:val="single" w:sz="8" w:color="auto"/>
              <w:bottom w:val="single" w:sz="8" w:color="CCEEFF"/>
            </w:tcBorders>
            <w:shd w:val="clear" w:color="auto" w:fill="CCEEFF"/>
          </w:tcPr>
          <w:p>
            <w:pPr>
              <w:spacing w:after="0"/>
              <w:rPr>
                <w:sz w:val="16"/>
                <w:szCs w:val="16"/>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5"/>
                <w:szCs w:val="15"/>
                <w:color w:val="auto"/>
              </w:rPr>
            </w:pPr>
          </w:p>
        </w:tc>
        <w:tc>
          <w:tcPr>
            <w:tcW w:w="1010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Form of Pre-Funded Warrant</w:t>
            </w: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CEEFF"/>
          </w:tcPr>
          <w:p>
            <w:pPr>
              <w:spacing w:after="0"/>
              <w:rPr>
                <w:sz w:val="15"/>
                <w:szCs w:val="15"/>
                <w:color w:val="auto"/>
              </w:rPr>
            </w:pPr>
          </w:p>
        </w:tc>
        <w:tc>
          <w:tcPr>
            <w:tcW w:w="1010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Opinion of Walkers (Cayman) LLP</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44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15"/>
                <w:szCs w:val="15"/>
                <w:color w:val="auto"/>
              </w:rPr>
            </w:pPr>
          </w:p>
        </w:tc>
        <w:tc>
          <w:tcPr>
            <w:tcW w:w="4440" w:type="dxa"/>
            <w:vAlign w:val="bottom"/>
            <w:tcBorders>
              <w:bottom w:val="single" w:sz="8" w:color="0000EE"/>
            </w:tcBorders>
            <w:gridSpan w:val="3"/>
          </w:tcPr>
          <w:p>
            <w:pPr>
              <w:spacing w:after="0" w:line="176" w:lineRule="exact"/>
              <w:rPr>
                <w:sz w:val="20"/>
                <w:szCs w:val="20"/>
                <w:color w:val="auto"/>
              </w:rPr>
            </w:pPr>
            <w:r>
              <w:rPr>
                <w:rFonts w:ascii="Times New Roman" w:cs="Times New Roman" w:eastAsia="Times New Roman" w:hAnsi="Times New Roman"/>
                <w:sz w:val="18"/>
                <w:szCs w:val="18"/>
                <w:color w:val="0000EE"/>
                <w:w w:val="99"/>
              </w:rPr>
              <w:t>Consent of Walkers (Cayman) LLP (contained in Exhibit 5.1)</w:t>
            </w:r>
          </w:p>
        </w:tc>
        <w:tc>
          <w:tcPr>
            <w:tcW w:w="5660" w:type="dxa"/>
            <w:vAlign w:val="bottom"/>
            <w:gridSpan w:val="2"/>
          </w:tcPr>
          <w:p>
            <w:pPr>
              <w:spacing w:after="0"/>
              <w:rPr>
                <w:sz w:val="15"/>
                <w:szCs w:val="15"/>
                <w:color w:val="auto"/>
              </w:rPr>
            </w:pPr>
          </w:p>
        </w:tc>
      </w:tr>
    </w:tbl>
    <w:p>
      <w:pPr>
        <w:spacing w:after="0" w:line="9" w:lineRule="exact"/>
        <w:rPr>
          <w:sz w:val="20"/>
          <w:szCs w:val="20"/>
          <w:color w:val="auto"/>
        </w:rPr>
      </w:pPr>
    </w:p>
    <w:p>
      <w:pPr>
        <w:ind w:left="5580" w:right="4320" w:hanging="5572"/>
        <w:spacing w:after="0" w:line="783" w:lineRule="auto"/>
        <w:tabs>
          <w:tab w:leader="none" w:pos="11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-845185</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7720" w:type="dxa"/>
            <w:vAlign w:val="bottom"/>
            <w:gridSpan w:val="2"/>
          </w:tcPr>
          <w:p>
            <w:pPr>
              <w:ind w:left="3240"/>
              <w:spacing w:after="0"/>
              <w:rPr>
                <w:sz w:val="20"/>
                <w:szCs w:val="20"/>
                <w:color w:val="auto"/>
              </w:rPr>
            </w:pPr>
            <w:r>
              <w:rPr>
                <w:rFonts w:ascii="Times New Roman" w:cs="Times New Roman" w:eastAsia="Times New Roman" w:hAnsi="Times New Roman"/>
                <w:sz w:val="18"/>
                <w:szCs w:val="18"/>
                <w:b w:val="1"/>
                <w:bCs w:val="1"/>
                <w:color w:val="auto"/>
              </w:rPr>
              <w:t>MOONLAKE IMMUNOTHERAPEUTICS</w:t>
            </w:r>
          </w:p>
        </w:tc>
      </w:tr>
      <w:tr>
        <w:trPr>
          <w:trHeight w:val="439"/>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June 25, 2026</w:t>
            </w:r>
          </w:p>
        </w:tc>
        <w:tc>
          <w:tcPr>
            <w:tcW w:w="3800" w:type="dxa"/>
            <w:vAlign w:val="bottom"/>
          </w:tcPr>
          <w:p>
            <w:pPr>
              <w:ind w:left="32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Matthias Bodenstedt</w:t>
            </w:r>
          </w:p>
        </w:tc>
      </w:tr>
      <w:tr>
        <w:trPr>
          <w:trHeight w:val="198"/>
        </w:trPr>
        <w:tc>
          <w:tcPr>
            <w:tcW w:w="3520" w:type="dxa"/>
            <w:vAlign w:val="bottom"/>
          </w:tcPr>
          <w:p>
            <w:pPr>
              <w:spacing w:after="0"/>
              <w:rPr>
                <w:sz w:val="17"/>
                <w:szCs w:val="17"/>
                <w:color w:val="auto"/>
              </w:rPr>
            </w:pPr>
          </w:p>
        </w:tc>
        <w:tc>
          <w:tcPr>
            <w:tcW w:w="3800" w:type="dxa"/>
            <w:vAlign w:val="bottom"/>
          </w:tcPr>
          <w:p>
            <w:pPr>
              <w:ind w:left="32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Matthias Bodenstedt</w:t>
            </w:r>
          </w:p>
        </w:tc>
      </w:tr>
      <w:tr>
        <w:trPr>
          <w:trHeight w:val="234"/>
        </w:trPr>
        <w:tc>
          <w:tcPr>
            <w:tcW w:w="3520" w:type="dxa"/>
            <w:vAlign w:val="bottom"/>
          </w:tcPr>
          <w:p>
            <w:pPr>
              <w:spacing w:after="0"/>
              <w:rPr>
                <w:sz w:val="20"/>
                <w:szCs w:val="20"/>
                <w:color w:val="auto"/>
              </w:rPr>
            </w:pPr>
          </w:p>
        </w:tc>
        <w:tc>
          <w:tcPr>
            <w:tcW w:w="3800" w:type="dxa"/>
            <w:vAlign w:val="bottom"/>
          </w:tcPr>
          <w:p>
            <w:pPr>
              <w:ind w:left="324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55"/>
        </w:trPr>
        <w:tc>
          <w:tcPr>
            <w:tcW w:w="35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ind w:left="2060"/>
              <w:spacing w:after="0"/>
              <w:rPr>
                <w:sz w:val="20"/>
                <w:szCs w:val="20"/>
                <w:color w:val="auto"/>
              </w:rPr>
            </w:pPr>
            <w:r>
              <w:rPr>
                <w:rFonts w:ascii="Times New Roman" w:cs="Times New Roman" w:eastAsia="Times New Roman" w:hAnsi="Times New Roman"/>
                <w:sz w:val="18"/>
                <w:szCs w:val="18"/>
                <w:color w:val="auto"/>
              </w:rPr>
              <w:t>2</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1.1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MOONLAKE IMMUNOTHERAPEUTICS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Cayman Islands exempted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9,000,000 Ordinary Shares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Pre-Funded Warrants to Purchase up to 1,000,000 Ordinary Shares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 AGREEMENT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June 23,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Leerink Partners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 of the several Underwriters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Leerink Partners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 State Street, 40th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 02109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MoonLake Immunotherapeutics, a Cayman Islands exempted company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confirms its agreement with Leerink Partners LLC (“</w:t>
      </w:r>
      <w:r>
        <w:rPr>
          <w:rFonts w:ascii="Times New Roman" w:cs="Times New Roman" w:eastAsia="Times New Roman" w:hAnsi="Times New Roman"/>
          <w:sz w:val="18"/>
          <w:szCs w:val="18"/>
          <w:u w:val="single" w:color="auto"/>
          <w:color w:val="auto"/>
        </w:rPr>
        <w:t>Leerink Partners</w:t>
      </w:r>
      <w:r>
        <w:rPr>
          <w:rFonts w:ascii="Times New Roman" w:cs="Times New Roman" w:eastAsia="Times New Roman" w:hAnsi="Times New Roman"/>
          <w:sz w:val="18"/>
          <w:szCs w:val="18"/>
          <w:color w:val="auto"/>
        </w:rPr>
        <w:t xml:space="preserve">”) and each of the other Underwriters named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(collectively, the “</w:t>
      </w:r>
      <w:r>
        <w:rPr>
          <w:rFonts w:ascii="Times New Roman" w:cs="Times New Roman" w:eastAsia="Times New Roman" w:hAnsi="Times New Roman"/>
          <w:sz w:val="18"/>
          <w:szCs w:val="18"/>
          <w:u w:val="single" w:color="auto"/>
          <w:color w:val="auto"/>
        </w:rPr>
        <w:t>Underwriters</w:t>
      </w:r>
      <w:r>
        <w:rPr>
          <w:rFonts w:ascii="Times New Roman" w:cs="Times New Roman" w:eastAsia="Times New Roman" w:hAnsi="Times New Roman"/>
          <w:sz w:val="18"/>
          <w:szCs w:val="18"/>
          <w:color w:val="auto"/>
        </w:rPr>
        <w:t>,” which term shall also include any underwriter substituted as hereinafter provided in Section 10 hereof), for which Leerink Partners is acting as representative (in such capacity, the “</w:t>
      </w:r>
      <w:r>
        <w:rPr>
          <w:rFonts w:ascii="Times New Roman" w:cs="Times New Roman" w:eastAsia="Times New Roman" w:hAnsi="Times New Roman"/>
          <w:sz w:val="18"/>
          <w:szCs w:val="18"/>
          <w:u w:val="single" w:color="auto"/>
          <w:color w:val="auto"/>
        </w:rPr>
        <w:t>Representative</w:t>
      </w:r>
      <w:r>
        <w:rPr>
          <w:rFonts w:ascii="Times New Roman" w:cs="Times New Roman" w:eastAsia="Times New Roman" w:hAnsi="Times New Roman"/>
          <w:sz w:val="18"/>
          <w:szCs w:val="18"/>
          <w:color w:val="auto"/>
        </w:rPr>
        <w:t>”), with respect to (i) the sale by the Company and the purchase by the Underwriters, acting severally and not jointly, of the respective numbers of Class A ordinary shares, par value $0.0001 per share, of the Company (“</w:t>
      </w:r>
      <w:r>
        <w:rPr>
          <w:rFonts w:ascii="Times New Roman" w:cs="Times New Roman" w:eastAsia="Times New Roman" w:hAnsi="Times New Roman"/>
          <w:sz w:val="18"/>
          <w:szCs w:val="18"/>
          <w:u w:val="single" w:color="auto"/>
          <w:color w:val="auto"/>
        </w:rPr>
        <w:t>Ordinary Shares</w:t>
      </w:r>
      <w:r>
        <w:rPr>
          <w:rFonts w:ascii="Times New Roman" w:cs="Times New Roman" w:eastAsia="Times New Roman" w:hAnsi="Times New Roman"/>
          <w:sz w:val="18"/>
          <w:szCs w:val="18"/>
          <w:color w:val="auto"/>
        </w:rPr>
        <w:t xml:space="preserve">”) set forth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xml:space="preserve">”); (ii) the sale by the Company and the purchase by the Underwriters of the respective numbers of pre-funded warrants of the Company, in the form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u w:val="single" w:color="auto"/>
          <w:color w:val="auto"/>
        </w:rPr>
        <w:t>Pre-Funded Warrants</w:t>
      </w:r>
      <w:r>
        <w:rPr>
          <w:rFonts w:ascii="Times New Roman" w:cs="Times New Roman" w:eastAsia="Times New Roman" w:hAnsi="Times New Roman"/>
          <w:sz w:val="18"/>
          <w:szCs w:val="18"/>
          <w:color w:val="auto"/>
        </w:rPr>
        <w:t>”), each exercisable for one Ordinary Share at an exercise price of $0.0001 per share (the “</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and (iii) the grant by the Company to the Underwriters, acting severally and not jointly, of the option described in Section 2(b) hereof to purchase all or any part of 1,500,000 additional Ordinary Shares. The aforesaid 9,000,000 Shares and Pre-Funded Warrants to purchase up to 1,000,000 Ordinary Shares (the “</w:t>
      </w:r>
      <w:r>
        <w:rPr>
          <w:rFonts w:ascii="Times New Roman" w:cs="Times New Roman" w:eastAsia="Times New Roman" w:hAnsi="Times New Roman"/>
          <w:sz w:val="18"/>
          <w:szCs w:val="18"/>
          <w:u w:val="single" w:color="auto"/>
          <w:color w:val="auto"/>
        </w:rPr>
        <w:t>Initial Securities</w:t>
      </w:r>
      <w:r>
        <w:rPr>
          <w:rFonts w:ascii="Times New Roman" w:cs="Times New Roman" w:eastAsia="Times New Roman" w:hAnsi="Times New Roman"/>
          <w:sz w:val="18"/>
          <w:szCs w:val="18"/>
          <w:color w:val="auto"/>
        </w:rPr>
        <w:t>”) to be purchased by the Underwriters and all or any part of the 1,500,000 Ordinary Shares subject to the option described in Section 2(b) hereof (the “</w:t>
      </w:r>
      <w:r>
        <w:rPr>
          <w:rFonts w:ascii="Times New Roman" w:cs="Times New Roman" w:eastAsia="Times New Roman" w:hAnsi="Times New Roman"/>
          <w:sz w:val="18"/>
          <w:szCs w:val="18"/>
          <w:u w:val="single" w:color="auto"/>
          <w:color w:val="auto"/>
        </w:rPr>
        <w:t>Option Securities</w:t>
      </w:r>
      <w:r>
        <w:rPr>
          <w:rFonts w:ascii="Times New Roman" w:cs="Times New Roman" w:eastAsia="Times New Roman" w:hAnsi="Times New Roman"/>
          <w:sz w:val="18"/>
          <w:szCs w:val="18"/>
          <w:color w:val="auto"/>
        </w:rPr>
        <w:t>”) are herein called, collectively,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understands that the Underwriters propose to make a public offering of the Securities as soon as the Representative deems advisable after this Underwriting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been executed and delivered.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The Company has filed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a shelf registration statement on Form S-3 (No. 333-274286), covering the public offering and sale of certain securities, including the Securities, under the Securities Act of 1933, as amended (the “</w:t>
      </w:r>
      <w:r>
        <w:rPr>
          <w:rFonts w:ascii="Times New Roman" w:cs="Times New Roman" w:eastAsia="Times New Roman" w:hAnsi="Times New Roman"/>
          <w:sz w:val="18"/>
          <w:szCs w:val="18"/>
          <w:u w:val="single" w:color="auto"/>
          <w:color w:val="auto"/>
        </w:rPr>
        <w:t>1933 Act</w:t>
      </w:r>
      <w:r>
        <w:rPr>
          <w:rFonts w:ascii="Times New Roman" w:cs="Times New Roman" w:eastAsia="Times New Roman" w:hAnsi="Times New Roman"/>
          <w:sz w:val="18"/>
          <w:szCs w:val="18"/>
          <w:color w:val="auto"/>
        </w:rPr>
        <w:t>”) and the rules and regulations of the Commission promulgated thereunder (the “</w:t>
      </w:r>
      <w:r>
        <w:rPr>
          <w:rFonts w:ascii="Times New Roman" w:cs="Times New Roman" w:eastAsia="Times New Roman" w:hAnsi="Times New Roman"/>
          <w:sz w:val="18"/>
          <w:szCs w:val="18"/>
          <w:u w:val="single" w:color="auto"/>
          <w:color w:val="auto"/>
        </w:rPr>
        <w:t>1933 Act Regulations</w:t>
      </w:r>
      <w:r>
        <w:rPr>
          <w:rFonts w:ascii="Times New Roman" w:cs="Times New Roman" w:eastAsia="Times New Roman" w:hAnsi="Times New Roman"/>
          <w:sz w:val="18"/>
          <w:szCs w:val="18"/>
          <w:color w:val="auto"/>
        </w:rPr>
        <w:t>”), which shelf registration statement was declared effective on September 11, 2023 under the 1933 Act. Such registration statement, as of any time, means such registration statement as amended by any post-effective amendments thereto at such time, including the exhibits and any schedules thereto at such time, the documents incorporated or deemed to be incorporated by reference therein at such time pursuant to Item 12 of Form S-3 under the 1933 Act and the documents otherwise deemed to be a part thereof as of such time pursuant to Rule 430B under the 1933 Act Regulations (“</w:t>
      </w:r>
      <w:r>
        <w:rPr>
          <w:rFonts w:ascii="Times New Roman" w:cs="Times New Roman" w:eastAsia="Times New Roman" w:hAnsi="Times New Roman"/>
          <w:sz w:val="18"/>
          <w:szCs w:val="18"/>
          <w:u w:val="single" w:color="auto"/>
          <w:color w:val="auto"/>
        </w:rPr>
        <w:t>Rule 430B</w:t>
      </w:r>
      <w:r>
        <w:rPr>
          <w:rFonts w:ascii="Times New Roman" w:cs="Times New Roman" w:eastAsia="Times New Roman" w:hAnsi="Times New Roman"/>
          <w:sz w:val="18"/>
          <w:szCs w:val="18"/>
          <w:color w:val="auto"/>
        </w:rPr>
        <w:t>”), and is referred to herein as the “Registration Statement;” provided, however, that the “Registration Statement” without reference to a time means such registration statement as amended by any post-effective amendments thereto as of the time of the first contract of sale for the Securities, which time shall be considered the “new effective date” of such registration statement with respect to the Securities within the meaning of paragraph (f)(2) of Rule 430B, including the exhibits and schedules thereto as of such time, the documents incorporated or deemed incorporated by reference therein at such time pursuant to Item 12 of Form S-3 under the 1933 Act and the documents otherwise deemed to be a part thereof as of such time pursuant to the Rule 430B. Any registration statement filed pursuant to Rule 462(b) of the 1933 Act Regulations is herein called the “</w:t>
      </w:r>
      <w:r>
        <w:rPr>
          <w:rFonts w:ascii="Times New Roman" w:cs="Times New Roman" w:eastAsia="Times New Roman" w:hAnsi="Times New Roman"/>
          <w:sz w:val="18"/>
          <w:szCs w:val="18"/>
          <w:u w:val="single" w:color="auto"/>
          <w:color w:val="auto"/>
        </w:rPr>
        <w:t>Rule 462(b) Registration Statement</w:t>
      </w:r>
      <w:r>
        <w:rPr>
          <w:rFonts w:ascii="Times New Roman" w:cs="Times New Roman" w:eastAsia="Times New Roman" w:hAnsi="Times New Roman"/>
          <w:sz w:val="18"/>
          <w:szCs w:val="18"/>
          <w:color w:val="auto"/>
        </w:rPr>
        <w:t>” and, after such filing, the term “Registration Statement” shall include the Rule 462(b) Registration Statement. Each preliminary prospectus used in connection with the offering of the Securities, including the documents incorporated or deemed to be incorporated by reference therein pursuant to Item 12 of Form S-3 under the 1933 Act, are collectively referred to herein as a “preliminary prospectus.” Promptly after execution and delivery of this Agreement, the Company will prepare and file a final prospectus relating to the Securities in accordance with the provisions of Rule 424(b) under the 1933 Act Regulations (“Rule 424(b)”). The final prospectus, in the form first furnished or made available to the Underwriters for use in connection with the offering of the Securities, including the documents incorporated or deemed to be incorporated by reference therein pursuant to Item 12 of Form S-3 under the 1933 Act, are collectively referred to herein as the “Prospectus.” For purposes of this Agreement, all references to the Registration Statement, any preliminary prospectus, the Prospectus or any amendment or supplement to any of the foregoing shall be deemed to include the copy filed with the Commission pursuant to its Electronic Data Gathering, Analysis and Retrieval system (or any successor system) (“</w:t>
      </w:r>
      <w:r>
        <w:rPr>
          <w:rFonts w:ascii="Times New Roman" w:cs="Times New Roman" w:eastAsia="Times New Roman" w:hAnsi="Times New Roman"/>
          <w:sz w:val="18"/>
          <w:szCs w:val="18"/>
          <w:u w:val="single" w:color="auto"/>
          <w:color w:val="auto"/>
        </w:rPr>
        <w:t>EDGAR</w:t>
      </w:r>
      <w:r>
        <w:rPr>
          <w:rFonts w:ascii="Times New Roman" w:cs="Times New Roman" w:eastAsia="Times New Roman" w:hAnsi="Times New Roman"/>
          <w:sz w:val="18"/>
          <w:szCs w:val="18"/>
          <w:color w:val="auto"/>
        </w:rPr>
        <w: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used in this Agreement:</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“Applicable Time” means 6:30 P.M., New York City time, on June 23, 2026 or such other time as agreed by the Company and the Representative.</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“General Disclosure Package” means any Issuer Free Writing Prospectuses issued at or prior to the Applicable Time, if permitted, the most recent preliminary prospectus (including any documents incorporated therein by reference) that is distributed to investors prior to the Applicable Time and the information included on </w:t>
      </w:r>
      <w:r>
        <w:rPr>
          <w:rFonts w:ascii="Times New Roman" w:cs="Times New Roman" w:eastAsia="Times New Roman" w:hAnsi="Times New Roman"/>
          <w:sz w:val="18"/>
          <w:szCs w:val="18"/>
          <w:u w:val="single" w:color="auto"/>
          <w:color w:val="auto"/>
        </w:rPr>
        <w:t>Schedule B-1</w:t>
      </w:r>
      <w:r>
        <w:rPr>
          <w:rFonts w:ascii="Times New Roman" w:cs="Times New Roman" w:eastAsia="Times New Roman" w:hAnsi="Times New Roman"/>
          <w:sz w:val="18"/>
          <w:szCs w:val="18"/>
          <w:color w:val="auto"/>
        </w:rPr>
        <w:t xml:space="preserve"> hereto, all considered together.</w:t>
      </w:r>
    </w:p>
    <w:p>
      <w:pPr>
        <w:spacing w:after="0" w:line="176"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“Issuer Free Writing Prospectus” means any “issuer free writing prospectus,” as defined in Rule 433 of the 1933 Act Regulations (“</w:t>
      </w:r>
      <w:r>
        <w:rPr>
          <w:rFonts w:ascii="Times New Roman" w:cs="Times New Roman" w:eastAsia="Times New Roman" w:hAnsi="Times New Roman"/>
          <w:sz w:val="18"/>
          <w:szCs w:val="18"/>
          <w:u w:val="single" w:color="auto"/>
          <w:color w:val="auto"/>
        </w:rPr>
        <w:t>Rule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433</w:t>
      </w:r>
      <w:r>
        <w:rPr>
          <w:rFonts w:ascii="Times New Roman" w:cs="Times New Roman" w:eastAsia="Times New Roman" w:hAnsi="Times New Roman"/>
          <w:sz w:val="18"/>
          <w:szCs w:val="18"/>
          <w:color w:val="auto"/>
        </w:rPr>
        <w:t>”), including without limitation any “free writing prospectus” (as defined in Rule 405 of the 1933 Act Regulations (“</w:t>
      </w:r>
      <w:r>
        <w:rPr>
          <w:rFonts w:ascii="Times New Roman" w:cs="Times New Roman" w:eastAsia="Times New Roman" w:hAnsi="Times New Roman"/>
          <w:sz w:val="18"/>
          <w:szCs w:val="18"/>
          <w:u w:val="single" w:color="auto"/>
          <w:color w:val="auto"/>
        </w:rPr>
        <w:t>Rule 405</w:t>
      </w:r>
      <w:r>
        <w:rPr>
          <w:rFonts w:ascii="Times New Roman" w:cs="Times New Roman" w:eastAsia="Times New Roman" w:hAnsi="Times New Roman"/>
          <w:sz w:val="18"/>
          <w:szCs w:val="18"/>
          <w:color w:val="auto"/>
        </w:rPr>
        <w:t>”)) relating to the Securities that is (i) required to be filed with the Commission by the Company, (ii) a “road show for an offering that is a written communication” within the meaning of Rule 433(d)(8)(i), whether or not required to be filed with the Commission, or (iii) exempt from filing with the Commission pursuant to Rule 433(d)(5)(i) because it contains a description of the Securities or of the offering that does not reflect the final terms, in each case in the form filed or required to be filed with the Commission or, if not required to be filed, in the form retained in the Company’s records pursuant to Rule 433(g).</w:t>
      </w:r>
    </w:p>
    <w:p>
      <w:pPr>
        <w:spacing w:after="0" w:line="189"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“Testing-the-Waters Communication” means any oral or written communication with potential investors undertaken in reliance on Section 5(d) of the 1933 Act.</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“Written Testing-the-Waters Communication” means any Testing-the-Waters Communication that is a written communication within the meaning of Rule 405 under the 1933 Act.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All references in this Agreement to financial statements and schedules and other information which is “contained,” “included” or “stated” (or other references of like import) in the Registration Statement, any preliminary prospectus or the Prospectus shall be deemed to include all such financial statements and schedules and other information incorporated or deemed incorporated by reference in the Registration Statement, any preliminary prospectus or the Prospectus, as the case may be, prior to the execution and delivery of this Agreement; and all references in this Agreement to amendments or supplements to the Registration Statement, any preliminary prospectus or the Prospectus shall be deemed to include the filing of any document under the Securities Exchange Act of 1934, as amended, and the rules and regulations promulgated thereunder (collectively, the “</w:t>
      </w:r>
      <w:r>
        <w:rPr>
          <w:rFonts w:ascii="Times New Roman" w:cs="Times New Roman" w:eastAsia="Times New Roman" w:hAnsi="Times New Roman"/>
          <w:sz w:val="18"/>
          <w:szCs w:val="18"/>
          <w:u w:val="single" w:color="auto"/>
          <w:color w:val="auto"/>
        </w:rPr>
        <w:t>1934 Act</w:t>
      </w:r>
      <w:r>
        <w:rPr>
          <w:rFonts w:ascii="Times New Roman" w:cs="Times New Roman" w:eastAsia="Times New Roman" w:hAnsi="Times New Roman"/>
          <w:sz w:val="18"/>
          <w:szCs w:val="18"/>
          <w:color w:val="auto"/>
        </w:rPr>
        <w:t>”), incorporated or deemed to be incorporated by reference in the Registration Statement, such preliminary prospectus or the Prospectus, as the case may be, at or after the execution and delivery of this Agreement.</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firstLine="656"/>
        <w:spacing w:after="0" w:line="284" w:lineRule="auto"/>
        <w:tabs>
          <w:tab w:leader="none" w:pos="91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Representations and Warranties by the Company</w:t>
      </w:r>
      <w:r>
        <w:rPr>
          <w:rFonts w:ascii="Times New Roman" w:cs="Times New Roman" w:eastAsia="Times New Roman" w:hAnsi="Times New Roman"/>
          <w:sz w:val="18"/>
          <w:szCs w:val="18"/>
          <w:color w:val="auto"/>
        </w:rPr>
        <w:t>. The Company represents and warrants to each Underwriter as of the date hereof,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Time, the Closing Time (as defined below) and any Date of Delivery (as defined below), and agrees with each Underwriter, as follows:</w:t>
      </w:r>
    </w:p>
    <w:p>
      <w:pPr>
        <w:spacing w:after="0" w:line="160"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523"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 and Prospectuses</w:t>
      </w:r>
      <w:r>
        <w:rPr>
          <w:rFonts w:ascii="Times New Roman" w:cs="Times New Roman" w:eastAsia="Times New Roman" w:hAnsi="Times New Roman"/>
          <w:sz w:val="18"/>
          <w:szCs w:val="18"/>
          <w:color w:val="auto"/>
        </w:rPr>
        <w:t>. The Company meets the requirements for use of Form S-3 under the 1933 Act. Each of the Registration Statement and any post-effective amendment thereto has become effective under the 1933 Act. No stop order suspending the effectiveness of the Registration Statement or any post-effective amendment thereto has been issued by the Commission under the 1933 Act, no order preventing or suspending the use of any preliminary prospectus or the Prospectus has been issued by the Commission and no proceedings for any of those purposes have been instituted by the Commission or are pending or, to the Company’s knowledge, contemplated by the Commission. The Company has complied with each request (if any) from the Commission for additional information.</w:t>
      </w:r>
    </w:p>
    <w:p>
      <w:pPr>
        <w:spacing w:after="0" w:line="187"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Each of the Registration Statement and any post-effective amendment thereto, at the time of its effectiveness and at each deemed effective date with respect to the Underwriters pursuant to Rule 430B(f)(2) under the 1933 Act Regulations, complied in all material respects with the requirements of the 1933 Act and the 1933 Act Regulations. Each preliminary prospectus, the Prospectus and any amendment or supplement thereto, at the time each was filed with the Commission, complied in all material respects with the requirements of the 1933 Act and the 1933 Act Regulations. Each preliminary prospectus delivered to the Underwriters for use in connection with this offering and the Prospectus was or will be identical to the electronically transmitted copies thereof filed with the Commission pursuant to EDGAR, except to the extent permitted by Regulation S-T.</w:t>
      </w:r>
    </w:p>
    <w:p>
      <w:pPr>
        <w:spacing w:after="0" w:line="189" w:lineRule="exact"/>
        <w:rPr>
          <w:sz w:val="20"/>
          <w:szCs w:val="20"/>
          <w:color w:val="auto"/>
        </w:rPr>
      </w:pPr>
    </w:p>
    <w:p>
      <w:pPr>
        <w:jc w:val="both"/>
        <w:ind w:left="660" w:right="20" w:firstLine="648"/>
        <w:spacing w:after="0" w:line="266" w:lineRule="auto"/>
        <w:rPr>
          <w:sz w:val="20"/>
          <w:szCs w:val="20"/>
          <w:color w:val="auto"/>
        </w:rPr>
      </w:pPr>
      <w:r>
        <w:rPr>
          <w:rFonts w:ascii="Times New Roman" w:cs="Times New Roman" w:eastAsia="Times New Roman" w:hAnsi="Times New Roman"/>
          <w:sz w:val="18"/>
          <w:szCs w:val="18"/>
          <w:color w:val="auto"/>
        </w:rPr>
        <w:t>The documents incorporated or deemed to be incorporated by reference in the Registration Statement and the Prospectus, when they became effective or at the time they were or hereafter are filed with the Commission, complied and will comply in all material respects with the requirements of the 1934 Act and the rules and regulations of the Commission under the 1934 Act (the “</w:t>
      </w:r>
      <w:r>
        <w:rPr>
          <w:rFonts w:ascii="Times New Roman" w:cs="Times New Roman" w:eastAsia="Times New Roman" w:hAnsi="Times New Roman"/>
          <w:sz w:val="18"/>
          <w:szCs w:val="18"/>
          <w:u w:val="single" w:color="auto"/>
          <w:color w:val="auto"/>
        </w:rPr>
        <w:t>1934 Act Regulations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The Registration Statement, any preliminary prospectus and the Prospectus, and the filing of the Registration Statement, any preliminary prospectus and the Prospectus with the Commission have been duly authorized by and on behalf of the Company, and the Registration Statement has been duly executed pursuant to such authorization.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both"/>
        <w:ind w:firstLine="644"/>
        <w:spacing w:after="0" w:line="252" w:lineRule="auto"/>
        <w:tabs>
          <w:tab w:leader="none" w:pos="91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Accurate Disclosure</w:t>
      </w:r>
      <w:r>
        <w:rPr>
          <w:rFonts w:ascii="Times New Roman" w:cs="Times New Roman" w:eastAsia="Times New Roman" w:hAnsi="Times New Roman"/>
          <w:sz w:val="18"/>
          <w:szCs w:val="18"/>
          <w:color w:val="auto"/>
        </w:rPr>
        <w:t>. Neither the Registration Statement nor any amendment thereto, at its effective time, at the Closing Time or at any Date of Delivery, contained, contains or will contain an untrue statement of a material fact or omitted, omits or will omit to state a material fact required to be stated therein or necessary to make the statements therein not misleading. As of the Applicable Time, neither of (A) the General Disclosure Package, nor (B) any individual Written Testing-the-Waters Communication, when considered together with the General Disclosure Package, included, includes or will include an untrue statement of a material fact or omitted, omits or will omit to state a material fact necessary in order to make the statements therein, in the light of the circumstances under which they were made, not misleading. Neither the Prospectus nor any amendment or supplement thereto (including any prospectus wrapper), as of its issue date, at the time of any filing with the Commission pursuant to Rule 424(b), at the Closing Time or at any Date of Delivery, included, includes or will include an untrue statement of a material fact or omitted, omits or will omit to state a material fact necessary in order to make the statements therein, in the light of the circumstances under which they were made, not misleading. The documents incorporated or deemed to be incorporated by reference in the Registration Statement, the General Disclosure Package and the Prospectus, at the time the Registration Statement became effective or when such documents incorporated by reference were filed with the Commission, as the case may be, when read together with the other information in the Registration Statement, the General Disclosure Package or the Prospectus, as the case may be, did not and will not include an untrue statement of a material fact or omit to state a material fact required to be stated therein or necessary to make the statements therein not misleading.</w:t>
      </w:r>
    </w:p>
    <w:p>
      <w:pPr>
        <w:spacing w:after="0" w:line="19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representations and warranties in this subsection shall not apply to statements in or omissions from the Registration Statement (or any amendment thereto), the General Disclosure Package or the Prospectus (or any amendment or supplement thereto, including any prospectus wrapper) made in reliance upon and in conformity with written information furnished to the Company by any Underwriter through the Representative expressly for use therein. For purposes of this Agreement, the only information so furnished shall be the information in the first sentence of the first paragraph under the caption “Underwriting—Discounts and Commissions,” the second sentence of the first paragraph under the caption “Underwriting—Price Stabilization, Short Positions and Penalty Bids” in each case contained in the Prospectus (collectively, the “</w:t>
      </w:r>
      <w:r>
        <w:rPr>
          <w:rFonts w:ascii="Times New Roman" w:cs="Times New Roman" w:eastAsia="Times New Roman" w:hAnsi="Times New Roman"/>
          <w:sz w:val="18"/>
          <w:szCs w:val="18"/>
          <w:u w:val="single" w:color="auto"/>
          <w:color w:val="auto"/>
        </w:rPr>
        <w:t>Underwriter Information</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960" w:hanging="316"/>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644"/>
        <w:spacing w:after="0" w:line="256" w:lineRule="auto"/>
        <w:tabs>
          <w:tab w:leader="none" w:pos="95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Testing-the-Waters Materials</w:t>
      </w:r>
      <w:r>
        <w:rPr>
          <w:rFonts w:ascii="Times New Roman" w:cs="Times New Roman" w:eastAsia="Times New Roman" w:hAnsi="Times New Roman"/>
          <w:sz w:val="18"/>
          <w:szCs w:val="18"/>
          <w:color w:val="auto"/>
        </w:rPr>
        <w:t xml:space="preserve">. The Company (A) has not engaged in any Testing-the-Waters Communication other than Testing-the-Waters Communications with the consent of the Representative with entities that are qualified institutional buyers within the meaning of Rule 144A under the 1933 Act or institutions that are accredited investors within the meaning of Rule 501 under the 1933 Act and (B) has not authorized anyone other than the Representative to engage in Testing-the-Waters Communications. The Company reconfirms that the Representative has been authorized to act on its behalf in undertaking Testing-the-Waters Communications specifically authorized by the Company. The Company has not distributed any Written Testing-the-Waters Communications other than those listed on </w:t>
      </w:r>
      <w:r>
        <w:rPr>
          <w:rFonts w:ascii="Times New Roman" w:cs="Times New Roman" w:eastAsia="Times New Roman" w:hAnsi="Times New Roman"/>
          <w:sz w:val="18"/>
          <w:szCs w:val="18"/>
          <w:u w:val="single" w:color="auto"/>
          <w:color w:val="auto"/>
        </w:rPr>
        <w:t>Schedule B-2</w:t>
      </w:r>
      <w:r>
        <w:rPr>
          <w:rFonts w:ascii="Times New Roman" w:cs="Times New Roman" w:eastAsia="Times New Roman" w:hAnsi="Times New Roman"/>
          <w:sz w:val="18"/>
          <w:szCs w:val="18"/>
          <w:color w:val="auto"/>
        </w:rPr>
        <w:t xml:space="preserve"> hereto.</w:t>
      </w:r>
    </w:p>
    <w:p>
      <w:pPr>
        <w:spacing w:after="0" w:line="185" w:lineRule="exact"/>
        <w:rPr>
          <w:rFonts w:ascii="Times New Roman" w:cs="Times New Roman" w:eastAsia="Times New Roman" w:hAnsi="Times New Roman"/>
          <w:sz w:val="18"/>
          <w:szCs w:val="18"/>
          <w:color w:val="auto"/>
        </w:rPr>
      </w:pPr>
    </w:p>
    <w:p>
      <w:pPr>
        <w:jc w:val="both"/>
        <w:ind w:firstLine="644"/>
        <w:spacing w:after="0" w:line="261" w:lineRule="auto"/>
        <w:tabs>
          <w:tab w:leader="none" w:pos="9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Not Ineligible Issuer</w:t>
      </w:r>
      <w:r>
        <w:rPr>
          <w:rFonts w:ascii="Times New Roman" w:cs="Times New Roman" w:eastAsia="Times New Roman" w:hAnsi="Times New Roman"/>
          <w:sz w:val="18"/>
          <w:szCs w:val="18"/>
          <w:color w:val="auto"/>
        </w:rPr>
        <w:t xml:space="preserve">. At the time the Company or another offering participant made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 (within the meaning of Rule 164(h)(2) of the 1933 Act Regulations) of the Securities and at the date hereof, the Company was not and is not an “ineligible issuer,” as defined in Rule 405, without taking account of any determination by the Commission pursuant to Rule 405 that it is not necessary that the Company be considered an ineligible issuer.</w:t>
      </w:r>
    </w:p>
    <w:p>
      <w:pPr>
        <w:spacing w:after="0" w:line="39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7" w:name="page8"/>
    <w:bookmarkEnd w:id="7"/>
    <w:p>
      <w:pPr>
        <w:ind w:left="480" w:hanging="296"/>
        <w:spacing w:after="0"/>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54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Accountants</w:t>
      </w:r>
      <w:r>
        <w:rPr>
          <w:rFonts w:ascii="Times New Roman" w:cs="Times New Roman" w:eastAsia="Times New Roman" w:hAnsi="Times New Roman"/>
          <w:sz w:val="18"/>
          <w:szCs w:val="18"/>
          <w:color w:val="auto"/>
        </w:rPr>
        <w:t>. Baker Tilly US, LLP, whose report on the consolidated financial statements of the Company is filed with the Commission as part of the Company’s most recent annual report on Form 10-K filed with the Commission and incorporated by reference in the Registration Statement, the General Disclosure Package and the Prospectus, is (i) an independent registered public accounting firm as required by the 1933 Act, the 1934 Act and the rules of the Public Company Accounting Oversight Board (“</w:t>
      </w:r>
      <w:r>
        <w:rPr>
          <w:rFonts w:ascii="Times New Roman" w:cs="Times New Roman" w:eastAsia="Times New Roman" w:hAnsi="Times New Roman"/>
          <w:sz w:val="18"/>
          <w:szCs w:val="18"/>
          <w:u w:val="single" w:color="auto"/>
          <w:color w:val="auto"/>
        </w:rPr>
        <w:t>PCAOB</w:t>
      </w:r>
      <w:r>
        <w:rPr>
          <w:rFonts w:ascii="Times New Roman" w:cs="Times New Roman" w:eastAsia="Times New Roman" w:hAnsi="Times New Roman"/>
          <w:sz w:val="18"/>
          <w:szCs w:val="18"/>
          <w:color w:val="auto"/>
        </w:rPr>
        <w:t>”), (ii) in compliance with the applicable requirements relating to the qualification of accountants under Rule 2-01 of Regulation S-X under the 1933 Act and (iii) a registered public accounting firm as defined by the PCAOB whose registration has not been suspended or revoked and who has not requested such registration to be withdrawn. Baker Tilly US, LLP has not been engaged by the Company to perform any “prohibited activities” or provided to the Company any “non-audit services” (as defined in Section 10A of the 1934 Act).</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51" w:lineRule="auto"/>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Statements; Non-GAAP Financial Measures</w:t>
      </w:r>
      <w:r>
        <w:rPr>
          <w:rFonts w:ascii="Times New Roman" w:cs="Times New Roman" w:eastAsia="Times New Roman" w:hAnsi="Times New Roman"/>
          <w:sz w:val="18"/>
          <w:szCs w:val="18"/>
          <w:color w:val="auto"/>
        </w:rPr>
        <w:t>. The financial statements included or incorporated by reference in the Registration Statement, the General Disclosure Package and the Prospectus, together with the related notes and schedules, present fairly in all material respects the consolidated financial position of the Company and the Subsidiaries as of the dates indicated and the consolidated results of operations, cash flows and changes in shareholders’ equity of the Company and the Subsidiaries for the periods specified and have been prepared in compliance in all material respects with the requirements of the 1933 Act and 1934 Act and in conformity in all material respects with United States generally accepted accounting principles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applied on a consistent basis during the periods involved (except as otherwise noted therein). To the extent applicable, any pro forma financial statements, information or data included or incorporated by reference in the Registration Statement, the General Disclosure Package and the Prospectus comply in all material respects with the requirements of Regulation S-X of the 1933 Act, including, without limitation, Article 11 thereof, fairly present, in all material respects, the information set forth therein, and the assumptions used in the preparation of such pro forma financial statements and data are reasonable, the pro forma adjustments used therein are appropriate to give effect to the circumstances referred to therein and the pro forma adjustments have been properly applied to the historical amounts in the compilation of those statements and data. The other financial data set forth or incorporated by reference in the Registration Statement, the General Disclosure Package and the Prospectus is accurately and fairly presented and prepared, in all material respects, on a basis consistent with the financial statements and books and records of the Company. There are no financial statements (historical or pro forma) that are required to be included or incorporated by reference in the Registration Statement, the General Disclosure Package or the Prospectus that are not included or incorporated by reference therein as required. The Company and the Subsidiaries do not have any material liabilities or obligations, direct or contingent (including any off-balance sheet obligations), not disclosed in the Registration Statement, the General Disclosure Package and the Prospectus. All disclosures contained in the Registration Statement, the General Disclosure Package or the Prospectus that contain “non-GAAP financial measures” (as such term is defined by the rules and regulations of the Commission) comply, in all material respects, with Regulation G under the 1934 Act and Item 10 of Regulation S-K under the 1933 Act, to the extent applicable. The statistical, industry-related and market-related data included or incorporated by reference in the Registration Statement, the General Disclosure Package and the Prospectus were obtained or derived from sources which the Company reasonably and in good faith believes are reliable and accurate, in all material respects, such data agree with the sources from which they are derived, and the Company has obtained the written consent to the use of such data from such sources to the extent required. To the Company’s knowledge, no person who has been suspended or barred from being associated with a registered public accounting firm, or who has failed to comply with any sanction pursuant to Rule 5300 promulgated by the PCAOB, has participated in or otherwise aided the preparation of, or audited, the financial statements, supporting schedules or other financial data filed with the Commission as a part of the Registration Statement, the General Disclosure Package and the Prospectus.</w:t>
      </w:r>
    </w:p>
    <w:p>
      <w:pPr>
        <w:spacing w:after="0" w:line="200" w:lineRule="exact"/>
        <w:rPr>
          <w:sz w:val="20"/>
          <w:szCs w:val="20"/>
          <w:color w:val="auto"/>
        </w:rPr>
      </w:pPr>
    </w:p>
    <w:p>
      <w:pPr>
        <w:spacing w:after="0" w:line="21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8" w:name="page9"/>
    <w:bookmarkEnd w:id="8"/>
    <w:p>
      <w:pPr>
        <w:jc w:val="both"/>
        <w:ind w:left="-460" w:firstLine="644"/>
        <w:spacing w:after="0" w:line="261" w:lineRule="auto"/>
        <w:tabs>
          <w:tab w:leader="none" w:pos="49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the Sarbanes-Oxley Act of 2002</w:t>
      </w:r>
      <w:r>
        <w:rPr>
          <w:rFonts w:ascii="Times New Roman" w:cs="Times New Roman" w:eastAsia="Times New Roman" w:hAnsi="Times New Roman"/>
          <w:sz w:val="18"/>
          <w:szCs w:val="18"/>
          <w:color w:val="auto"/>
        </w:rPr>
        <w:t>. The Company is in compliance with, and there is and has been no failure on the part of the Company and, to the Company’s knowledge, any of the Company’s directors or officers, in their capacities as such, to comply with, any applicable provision of the Sarbanes-Oxley Act of 2002 and all rules and regulations promulgated thereunder or implementing the provisions thereof (the “</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and the rules and regulations promulgated in connection therewith, including Section 402 relating to loans.</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45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Adverse Change in Business</w:t>
      </w:r>
      <w:r>
        <w:rPr>
          <w:rFonts w:ascii="Times New Roman" w:cs="Times New Roman" w:eastAsia="Times New Roman" w:hAnsi="Times New Roman"/>
          <w:sz w:val="18"/>
          <w:szCs w:val="18"/>
          <w:color w:val="auto"/>
        </w:rPr>
        <w:t>. Subsequent to the respective dates as of which information is given in the Registration Statement and the Prospectus and except as set forth in the Registration Statement, the General Disclosure Package or the Prospectus: (i) there has been no material adverse change, or any development that could reasonably be expected to result in a material adverse change, in the condition (financial or otherwise), earnings, results of operations, business, properties, operations, assets, liabilities or prospects of the Company and its Subsidiaries, taken as a whole, whether or not arising from transactions in the ordinary course of business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(ii) neither the Company nor Company’s “subsidiaries” (for purposes of this Agreement, as defined in Rule 405 under the 1933 Act) (each, a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has (A) incurred any material liability or obligation, indirect, direct or contingent, including without limitation any losses or interference with its business from fire, explosion, flood, earthquakes, accident or other calamity, whether or not covered by insurance, or from any strike, labor dispute or court or governmental action, order or decree, that are material, individually or in the aggregate, to the Company and its Subsidiaries, considered as one entity, (B) entered into any material transactions not in the ordinary course of business or (C) issued or granted any shares of the Company or the Company’s securities convertible into or exchangeable or exercisable for or that represent the right to receive shares of the Company other than under the Share Plans; and (iii) there has not been any material decrease in the share capital or any material increase in any short-term or long-term indebtedness of the Company or any of its Subsidiaries and there has been no dividend or distribution of any kind declared, paid or made by the Company or, except for dividends paid to the Company or another Subsidiary, by any Subsidiary on any class of shares, or any repurchase or redemption by the Company or any of its Subsidiaries of any class of shares.</w:t>
      </w:r>
    </w:p>
    <w:p>
      <w:pPr>
        <w:spacing w:after="0" w:line="195" w:lineRule="exact"/>
        <w:rPr>
          <w:rFonts w:ascii="Times New Roman" w:cs="Times New Roman" w:eastAsia="Times New Roman" w:hAnsi="Times New Roman"/>
          <w:sz w:val="18"/>
          <w:szCs w:val="18"/>
          <w:color w:val="auto"/>
        </w:rPr>
      </w:pPr>
    </w:p>
    <w:p>
      <w:pPr>
        <w:jc w:val="both"/>
        <w:ind w:left="-460" w:firstLine="644"/>
        <w:spacing w:after="0" w:line="255" w:lineRule="auto"/>
        <w:tabs>
          <w:tab w:leader="none" w:pos="49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 Standing of the Company</w:t>
      </w:r>
      <w:r>
        <w:rPr>
          <w:rFonts w:ascii="Times New Roman" w:cs="Times New Roman" w:eastAsia="Times New Roman" w:hAnsi="Times New Roman"/>
          <w:sz w:val="18"/>
          <w:szCs w:val="18"/>
          <w:color w:val="auto"/>
        </w:rPr>
        <w:t>. The Company has been duly incorporated and is validly existing as an exempted company in good standing under the laws of the Cayman Islands, with full corporate power and authority to acquire, own, lease and operate its properties, and to lease the same to others, and to conduct its business as described in the Registration Statement, the General Disclosure Package and the Prospectus and to enter into and perform its obligations under this Agreement. The Company is duly qualified to transact business and is in good standing (where such concept exists) under the laws of each other jurisdiction that requires such qualification, whether by reason of the ownership or leasing of property or the conduct of business, except to the extent that the failure to be so qualified or in good standing outside of the Cayman Islands could not reasonably be expected, individually or in the aggregate, to have a Material Adverse Effect.</w:t>
      </w:r>
    </w:p>
    <w:p>
      <w:pPr>
        <w:spacing w:after="0" w:line="200" w:lineRule="exact"/>
        <w:rPr>
          <w:sz w:val="20"/>
          <w:szCs w:val="20"/>
          <w:color w:val="auto"/>
        </w:rPr>
      </w:pPr>
    </w:p>
    <w:p>
      <w:pPr>
        <w:spacing w:after="0" w:line="20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9" w:name="page10"/>
    <w:bookmarkEnd w:id="9"/>
    <w:p>
      <w:pPr>
        <w:jc w:val="both"/>
        <w:ind w:left="-460" w:firstLine="644"/>
        <w:spacing w:after="0" w:line="252" w:lineRule="auto"/>
        <w:tabs>
          <w:tab w:leader="none" w:pos="55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 Standing of the Company’s Subsidiaries</w:t>
      </w:r>
      <w:r>
        <w:rPr>
          <w:rFonts w:ascii="Times New Roman" w:cs="Times New Roman" w:eastAsia="Times New Roman" w:hAnsi="Times New Roman"/>
          <w:sz w:val="18"/>
          <w:szCs w:val="18"/>
          <w:color w:val="auto"/>
        </w:rPr>
        <w:t>. Each of the Subsidiaries has been duly organized and is validly existing in good standing (where such concept exists) under the laws of the jurisdiction of its organization and has full power and authority to acquire, own, lease and operate its properties, and to conduct its business as described in the Registration Statement, the General Disclosure Package and the Prospectus. Each Subsidiary is duly qualified to transact business and is in good standing (where such concept exists) under the laws of each jurisdiction that requires such qualification, whether by reason of the ownership or leasing of property or the conduct of business, except to the extent that the failure to be so qualified or in good standing could not reasonably be expected, individually or in the aggregate, to have a Material Adverse Effect. All of the issued and outstanding share capital or other equity or ownership interests of each Subsidiary has been duly authorized and validly issued, is fully paid and nonassessable, has been issued in compliance with federal, state and local securities laws and, except as described in the Registration Statement, the General Disclosure Package and the Prospectus, is owned by the Company, directly or through other wholly-owned Subsidiaries, free and clear of any security interest, mortgage, pledge, lien, encumbrance or adverse claim. The Company does not own or control, directly or indirectly, any corporation, association or other entity, other than the Subsidiaries listed on Exhibit 21.1 to the Company’s most recent Annual Report on Form 10-K filed with the Commission. No Subsidiary is prohibited or restricted, directly or indirectly, from paying dividends to the Company, from making any other distribution with respect to such Subsidiary’s equity securities, from repaying to the Company or any other Subsidiary any amounts that may from time to time become due under any loans or advances to such Subsidiary from the Company or from transferring any property or assets to the Company or to any other Subsidiary.</w:t>
      </w:r>
    </w:p>
    <w:p>
      <w:pPr>
        <w:spacing w:after="0" w:line="195"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59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The Company has the authorized and outstanding capitalization as set forth in the Company’s most recent periodic report on Form 10-K or Form 10-Q, as the case may be, as of the dates referred to therein (subject, in each case, to the issuance of Securities under this Agreement, the issuance of Ordinary Shares upon exercise of share options and warrants disclosed as outstanding as of the date hereof in the Registration Statement, the General Disclosure Package and the Prospectus and the grant of options under existing share option plans described in the Registration Statement, the General Disclosure Package and the Prospectus). The Ordinary Shares conform in all material respects to the description thereof contained in the Registration Statement, the General Disclosure Package and the Prospectus, including under the heading “Description of Shares.” All of the issued and outstanding share capital or other equity or ownership interest of the Company (including the Ordinary Shares) has been duly authorized and validly issued and is fully paid and nonassessable, has been issued in compliance with all federal, state and local securities laws and is free and clear of any security interest, mortgage, pledge, lien, encumbrance or adverse claim. None of the outstanding capital shares of the Company were issued in violation of any preemptive rights, rights of first refusal or other similar rights to subscribe for or purchase securities of the Company. Except as summarized in the Registration Statement, the General Disclosure Package and the Prospectus, there are no authorized or outstanding options, warrants, preemptive rights, rights of first refusal or other rights to purchase or subscribe for, or equity or debt securities convertible into or exchangeable or exercisable for, any share capital of the Company or any of its Subsidiaries or to which the Company or any of its Subsidiaries is a party or by which any of them may be bound. The descriptions of the Company’s equity incentive plan, share option plans and other share plans or arrangements described in the Prospectus and in effect as of the date hereof (collectively, the “</w:t>
      </w:r>
      <w:r>
        <w:rPr>
          <w:rFonts w:ascii="Times New Roman" w:cs="Times New Roman" w:eastAsia="Times New Roman" w:hAnsi="Times New Roman"/>
          <w:sz w:val="18"/>
          <w:szCs w:val="18"/>
          <w:u w:val="single" w:color="auto"/>
          <w:color w:val="auto"/>
        </w:rPr>
        <w:t>Share Plans</w:t>
      </w:r>
      <w:r>
        <w:rPr>
          <w:rFonts w:ascii="Times New Roman" w:cs="Times New Roman" w:eastAsia="Times New Roman" w:hAnsi="Times New Roman"/>
          <w:sz w:val="18"/>
          <w:szCs w:val="18"/>
          <w:color w:val="auto"/>
        </w:rPr>
        <w:t>”) and the options or other rights granted thereunder, set forth in the Prospectus accurately and fairly present the information required to be shown with respect to such Share Plans and the options or other rights granted thereunder.</w:t>
      </w:r>
    </w:p>
    <w:p>
      <w:pPr>
        <w:spacing w:after="0" w:line="193" w:lineRule="exact"/>
        <w:rPr>
          <w:rFonts w:ascii="Times New Roman" w:cs="Times New Roman" w:eastAsia="Times New Roman" w:hAnsi="Times New Roman"/>
          <w:sz w:val="18"/>
          <w:szCs w:val="18"/>
          <w:color w:val="auto"/>
        </w:rPr>
      </w:pPr>
    </w:p>
    <w:p>
      <w:pPr>
        <w:ind w:left="580" w:hanging="396"/>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of Agreement</w:t>
      </w:r>
      <w:r>
        <w:rPr>
          <w:rFonts w:ascii="Times New Roman" w:cs="Times New Roman" w:eastAsia="Times New Roman" w:hAnsi="Times New Roman"/>
          <w:sz w:val="18"/>
          <w:szCs w:val="18"/>
          <w:color w:val="auto"/>
        </w:rPr>
        <w:t>. This Agreement has been duly authorized, executed and delivered by the Company.</w:t>
      </w:r>
    </w:p>
    <w:p>
      <w:pPr>
        <w:spacing w:after="0" w:line="200" w:lineRule="exact"/>
        <w:rPr>
          <w:sz w:val="20"/>
          <w:szCs w:val="20"/>
          <w:color w:val="auto"/>
        </w:rPr>
      </w:pPr>
    </w:p>
    <w:p>
      <w:pPr>
        <w:spacing w:after="0" w:line="24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0" w:name="page11"/>
    <w:bookmarkEnd w:id="10"/>
    <w:p>
      <w:pPr>
        <w:jc w:val="both"/>
        <w:ind w:left="-460" w:firstLine="644"/>
        <w:spacing w:after="0" w:line="251" w:lineRule="auto"/>
        <w:tabs>
          <w:tab w:leader="none" w:pos="53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and Description of Securities</w:t>
      </w:r>
      <w:r>
        <w:rPr>
          <w:rFonts w:ascii="Times New Roman" w:cs="Times New Roman" w:eastAsia="Times New Roman" w:hAnsi="Times New Roman"/>
          <w:sz w:val="18"/>
          <w:szCs w:val="18"/>
          <w:color w:val="auto"/>
        </w:rPr>
        <w:t>. The Securities to be purchased by the Underwriters from the Company have been duly authorized for issuance and sale to the Underwriters pursuant to this Agreement and, when issued and delivered by the Company pursuant to this Agreement against payment of the consideration set forth herein, will be validly issued and fully paid and non-assessable; and the issuance of the Securities is not subject to the preemptive or other similar rights of any securityholder of the Company. The Pre-Funded Warrants have been duly authorized by the Company and, when executed and delivered by the Company, will be valid and binding agreements of the Company, enforceable against the Company in accordance with their terms, except as the enforcement thereof may be limited by bankruptcy, insolvency, reorganization, moratorium or other similar laws relating to or affecting the rights and remedies of creditors or by general equitable principles. The Warrant Shares have been duly authorized and validly reserved for issuance upon exercise of the Pre-Funded Warrants in a number sufficient to meet the current exercise requirements. The Warrant Shares, when issued and delivered upon exercise of the Pre-Funded Warrants in accordance therewith (and provided that a sufficient number of authorized but unissued Ordinary Shares are available), will be validly issued and fully paid and nonassessable and will conform to the descriptions thereof in the Registration Statement, the General Disclosure Package and the Prospectus. The issuance of the Warrant Shares is not subject to any preemptive rights or other similar rights of any securityholder of the Company. The Ordinary Shares conform to all statements relating thereto contained in the Registration Statement, the General Disclosure Package and the Prospectus and such description conforms to the rights set forth in the instruments defining the same. No holder of Securities will be subject to personal liability by reason of being such a holder. The issuance and sale of the Securities as contemplated hereby shall not be subject to any preemptive rights, rights of first refusal or other similar rights to subscribe for or purchase the Securities. When issued and delivered by the Company against payment therefor pursuant to this Agreement, and, following the transfer agent of the Company updating the register of members of the Company to reflect the issuance of any such Securities, the purchasers of the Securities issued and sold hereunder will acquire good, marketable and valid title to such Securities, free and clear of all pledges, liens, security interests, charges, claims or encumbrances. The issuance and sale of the Securities as contemplated hereby will not cause any holder of any share capital, securities convertible into or exchangeable or exercisable for share capital or options, warrants or other rights to purchase share capital or any other securities of the Company to have any right to acquire any preference shares of the Company. There are no restrictions upon the voting or transfer of the Ordinary Shares under the Company’s Memorandum and Articles of Association, as amended (the “</w:t>
      </w:r>
      <w:r>
        <w:rPr>
          <w:rFonts w:ascii="Times New Roman" w:cs="Times New Roman" w:eastAsia="Times New Roman" w:hAnsi="Times New Roman"/>
          <w:sz w:val="18"/>
          <w:szCs w:val="18"/>
          <w:u w:val="single" w:color="auto"/>
          <w:color w:val="auto"/>
        </w:rPr>
        <w:t>Memorandum and Articles of Association</w:t>
      </w:r>
      <w:r>
        <w:rPr>
          <w:rFonts w:ascii="Times New Roman" w:cs="Times New Roman" w:eastAsia="Times New Roman" w:hAnsi="Times New Roman"/>
          <w:sz w:val="18"/>
          <w:szCs w:val="18"/>
          <w:color w:val="auto"/>
        </w:rPr>
        <w:t>”), other similar organizational document or any agreement or other instrument to which the Company is a party or otherwise filed as an exhibit to the Company’s most recent annual report on Form 10-K.</w:t>
      </w:r>
    </w:p>
    <w:p>
      <w:pPr>
        <w:spacing w:after="0" w:line="204"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58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There are no persons (as such term is defined in Rule 1-02 of Regulation S-X promulgated under the 1933 Act) with registration or other similar rights to have any equity or debt securities of the Company registered for sale under the Registration Statement or included in the offering contemplated by this Agreement, except for such rights as have been duly waived in a writing previously furnished to the Underwriters.</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Violations, Defaults and Conflicts</w:t>
      </w:r>
      <w:r>
        <w:rPr>
          <w:rFonts w:ascii="Times New Roman" w:cs="Times New Roman" w:eastAsia="Times New Roman" w:hAnsi="Times New Roman"/>
          <w:sz w:val="18"/>
          <w:szCs w:val="18"/>
          <w:color w:val="auto"/>
        </w:rPr>
        <w:t>. Neither the Company nor any Subsidiary is in violation or default of (i) any provision of its Memorandum and Articles of Association, bylaws, limited liability company agreement, certificate or agreement of limited or general partnership, or other similar organizational documents, as the case may be, of such entity, (ii) the terms of any indenture, contract, lease, mortgage, deed of trust, note agreement, loan agreement or other agreement, obligation, condition, covenant or instrument to which it is a party or bound or to which its property or assets is subject (collectively, “</w:t>
      </w:r>
      <w:r>
        <w:rPr>
          <w:rFonts w:ascii="Times New Roman" w:cs="Times New Roman" w:eastAsia="Times New Roman" w:hAnsi="Times New Roman"/>
          <w:sz w:val="18"/>
          <w:szCs w:val="18"/>
          <w:u w:val="single" w:color="auto"/>
          <w:color w:val="auto"/>
        </w:rPr>
        <w:t>Agreements and Instruments</w:t>
      </w:r>
      <w:r>
        <w:rPr>
          <w:rFonts w:ascii="Times New Roman" w:cs="Times New Roman" w:eastAsia="Times New Roman" w:hAnsi="Times New Roman"/>
          <w:sz w:val="18"/>
          <w:szCs w:val="18"/>
          <w:color w:val="auto"/>
        </w:rPr>
        <w:t>”), or (iii) any statute, law, rule, regulation, judgment, order or decree of any court, regulatory body, administrative agency, governmental body, arbitrator or other authority having jurisdiction over the Company, any of its Subsidiaries or any of their respective properties or assets (each, a “</w:t>
      </w:r>
      <w:r>
        <w:rPr>
          <w:rFonts w:ascii="Times New Roman" w:cs="Times New Roman" w:eastAsia="Times New Roman" w:hAnsi="Times New Roman"/>
          <w:sz w:val="18"/>
          <w:szCs w:val="18"/>
          <w:u w:val="single" w:color="auto"/>
          <w:color w:val="auto"/>
        </w:rPr>
        <w:t>Governmental Entity</w:t>
      </w:r>
      <w:r>
        <w:rPr>
          <w:rFonts w:ascii="Times New Roman" w:cs="Times New Roman" w:eastAsia="Times New Roman" w:hAnsi="Times New Roman"/>
          <w:sz w:val="18"/>
          <w:szCs w:val="18"/>
          <w:color w:val="auto"/>
        </w:rPr>
        <w:t>”), as applicable, except, in the case of clauses (ii) and (iii) above, for any such default or violation that would not, individually or in the aggregate, reasonably be expected to result in a Material Adverse Effect. The execution, delivery and performance of this Agreement and the consummation of the transactions contemplated herein and in the Registration Statement, the General Disclosure Package and the Prospectus (including the issuance and sale of the Securities and the use of the proceeds from the sale of the Securities as described therein under the caption “</w:t>
      </w:r>
      <w:r>
        <w:rPr>
          <w:rFonts w:ascii="Times New Roman" w:cs="Times New Roman" w:eastAsia="Times New Roman" w:hAnsi="Times New Roman"/>
          <w:sz w:val="18"/>
          <w:szCs w:val="18"/>
          <w:u w:val="single" w:color="auto"/>
          <w:color w:val="auto"/>
        </w:rPr>
        <w:t>Use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Proceeds</w:t>
      </w:r>
      <w:r>
        <w:rPr>
          <w:rFonts w:ascii="Times New Roman" w:cs="Times New Roman" w:eastAsia="Times New Roman" w:hAnsi="Times New Roman"/>
          <w:sz w:val="18"/>
          <w:szCs w:val="18"/>
          <w:color w:val="auto"/>
        </w:rPr>
        <w:t>”) and compliance by the Company with its obligations hereunder have been duly authorized by all necessary corporate action and do not and will not, whether with or without the giving of notice or passage of time or both, conflict with or constitute a breach of, or default or Repayment Event (as defined below) under, or result in the creation or imposition of any lien, charge or encumbrance upon any properties or assets of the Company or its Subsidiaries pursuant to, the Agreements and Instruments (except for such conflicts, breaches, defaults or Repayment Events or liens, charges or encumbrances that would not, singly or in the aggregate, reasonably be expected to result in a Material Adverse Effect), nor will such action result in any violation of the provisions of the charter, by-laws or similar organizational document of the Company or its Subsidiaries or any law, statute, rule, regulation, judgment, order, writ or decree of any Governmental Entity. As used herein, a “</w:t>
      </w:r>
      <w:r>
        <w:rPr>
          <w:rFonts w:ascii="Times New Roman" w:cs="Times New Roman" w:eastAsia="Times New Roman" w:hAnsi="Times New Roman"/>
          <w:sz w:val="18"/>
          <w:szCs w:val="18"/>
          <w:u w:val="single" w:color="auto"/>
          <w:color w:val="auto"/>
        </w:rPr>
        <w:t>Repayment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Event</w:t>
      </w:r>
      <w:r>
        <w:rPr>
          <w:rFonts w:ascii="Times New Roman" w:cs="Times New Roman" w:eastAsia="Times New Roman" w:hAnsi="Times New Roman"/>
          <w:sz w:val="18"/>
          <w:szCs w:val="18"/>
          <w:color w:val="auto"/>
        </w:rPr>
        <w:t>” means any event or condition which gives the holder of any note, debenture or other evidence of indebtedness (or any person acting on such holder’s behalf) the right to require the repurchase, redemption or repayment of all or a portion of such indebtedness by the Company or its Subsidiaries.</w:t>
      </w:r>
    </w:p>
    <w:p>
      <w:pPr>
        <w:spacing w:after="0" w:line="200" w:lineRule="exact"/>
        <w:rPr>
          <w:sz w:val="20"/>
          <w:szCs w:val="20"/>
          <w:color w:val="auto"/>
        </w:rPr>
      </w:pPr>
    </w:p>
    <w:p>
      <w:pPr>
        <w:spacing w:after="0" w:line="20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1" w:name="page12"/>
    <w:bookmarkEnd w:id="11"/>
    <w:p>
      <w:pPr>
        <w:jc w:val="both"/>
        <w:ind w:left="-460" w:firstLine="644"/>
        <w:spacing w:after="0" w:line="255" w:lineRule="auto"/>
        <w:tabs>
          <w:tab w:leader="none" w:pos="68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1934 Act Registration and Nasdaq Listing</w:t>
      </w:r>
      <w:r>
        <w:rPr>
          <w:rFonts w:ascii="Times New Roman" w:cs="Times New Roman" w:eastAsia="Times New Roman" w:hAnsi="Times New Roman"/>
          <w:sz w:val="18"/>
          <w:szCs w:val="18"/>
          <w:color w:val="auto"/>
        </w:rPr>
        <w:t>. The Company is subject to and in compliance in all material respects with the reporting requirements of Section 13 or Section 15(d) of the 1934 Act. The Ordinary Shares are registered pursuant to Section 12(b) of the 1934 Act and are listed on the Nasdaq Capital Market (“</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and the Company has taken no action designed to, or reasonably likely to have the effect of, terminating the registration of the Ordinary Shares under the 1934 Act or delisting the Ordinary Shares from Nasdaq, nor has the Company received any notification that the Commission or Nasdaq is contemplating terminating such registration or listing. The Company is in compliance with the current listing standards of Nasdaq. The Company has filed a Notification of Listing of Additional Shares with Nasdaq with respect to the Securities.</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61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Labor Dispute</w:t>
      </w:r>
      <w:r>
        <w:rPr>
          <w:rFonts w:ascii="Times New Roman" w:cs="Times New Roman" w:eastAsia="Times New Roman" w:hAnsi="Times New Roman"/>
          <w:sz w:val="18"/>
          <w:szCs w:val="18"/>
          <w:color w:val="auto"/>
        </w:rPr>
        <w:t>. No labor dispute with the employees of the Company or any of its Subsidiaries exists or, to the Company’s knowledge, is threatened or imminent, and the Company is not aware of any existing, threatened or imminent labor disturbance by the employees of any of its or any of its Subsidiaries’ principal suppliers, manufacturers, contractors or customers, in each case that would reasonably be expected to result in a Material Adverse Effect. None of the employees of the Company or any of its Subsidiaries is represented by a union and, to the knowledge of the Company, no union organizing activities are taking place. Neither the Company nor any of its Subsidiaries has violated (or received notice of any violation of) any federal, state or local law or foreign law relating to the discrimination in hiring, promotion or pay of employees, nor any applicable wage or hour laws, or the rules and regulations thereunder, or analogous foreign laws and regulations, which would, individually or in the aggregate, reasonably be expected to result in a Material Adverse Effect.</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53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Proceedings</w:t>
      </w:r>
      <w:r>
        <w:rPr>
          <w:rFonts w:ascii="Times New Roman" w:cs="Times New Roman" w:eastAsia="Times New Roman" w:hAnsi="Times New Roman"/>
          <w:sz w:val="18"/>
          <w:szCs w:val="18"/>
          <w:color w:val="auto"/>
        </w:rPr>
        <w:t>. There is no legal or governmental proceeding to which the Company or any of its Subsidiaries is a party or of which any property or assets of the Company or any of its Subsidiaries is the subject, including any proceeding before the U.S. Food and Drug Administration (“</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the European Medicines Agency (“</w:t>
      </w:r>
      <w:r>
        <w:rPr>
          <w:rFonts w:ascii="Times New Roman" w:cs="Times New Roman" w:eastAsia="Times New Roman" w:hAnsi="Times New Roman"/>
          <w:sz w:val="18"/>
          <w:szCs w:val="18"/>
          <w:u w:val="single" w:color="auto"/>
          <w:color w:val="auto"/>
        </w:rPr>
        <w:t>EMA</w:t>
      </w:r>
      <w:r>
        <w:rPr>
          <w:rFonts w:ascii="Times New Roman" w:cs="Times New Roman" w:eastAsia="Times New Roman" w:hAnsi="Times New Roman"/>
          <w:sz w:val="18"/>
          <w:szCs w:val="18"/>
          <w:color w:val="auto"/>
        </w:rPr>
        <w:t>”) or any foreign, local, national or other governmental agency with jurisdiction over the types of products being developed by the Company that is required to be described in the Registration Statement, the General Disclosure Package or the Prospectus and is not described therein, or which, individually or in the aggregate, if determined adversely to the Company or any of its Subsidiaries, could reasonably be expected to have a Material Adverse Effect; and, to the knowledge of the Company, no such proceedings are threatened or contemplated by governmental or regulatory authorities or threatened by others. The Company and its Subsidiaries (i) have not received notice of any claim, action, suit, proceeding, hearing, enforcement, investigation, arbitration or other action from any governmental authority or third party alleging that any product operation or activity is in violation of any Applicable Laws or Governmental Permits and have no knowledge that any such governmental authority or third party is considering any such claim, litigation, arbitration, action, suit, investigation or proceeding and (ii) have not received notice that any governmental authority has taken, is taking or intends to take action to limit, suspend, modify or revoke any Governmental Permits and the Company has no knowledge that any such governmental authority is considering such action.</w:t>
      </w:r>
    </w:p>
    <w:p>
      <w:pPr>
        <w:spacing w:after="0" w:line="200" w:lineRule="exact"/>
        <w:rPr>
          <w:sz w:val="20"/>
          <w:szCs w:val="20"/>
          <w:color w:val="auto"/>
        </w:rPr>
      </w:pPr>
    </w:p>
    <w:p>
      <w:pPr>
        <w:spacing w:after="0" w:line="20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2" w:name="page13"/>
    <w:bookmarkEnd w:id="12"/>
    <w:p>
      <w:pPr>
        <w:jc w:val="both"/>
        <w:ind w:left="-460" w:firstLine="644"/>
        <w:spacing w:after="0" w:line="252" w:lineRule="auto"/>
        <w:tabs>
          <w:tab w:leader="none" w:pos="61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Accuracy of Exhibits</w:t>
      </w:r>
      <w:r>
        <w:rPr>
          <w:rFonts w:ascii="Times New Roman" w:cs="Times New Roman" w:eastAsia="Times New Roman" w:hAnsi="Times New Roman"/>
          <w:sz w:val="18"/>
          <w:szCs w:val="18"/>
          <w:color w:val="auto"/>
        </w:rPr>
        <w:t>. There is no statute, regulation, contract, agreement or other document required to be described in the Registration Statement, the General Disclosure Package or the Prospectus, or to be filed as an exhibit to the Registration Statement which is not described or filed as required. The statements set forth or incorporated by reference in the Prospectus, insofar as they purport to constitute summaries of the terms of the statutes, regulations, contracts, agreements or other documents described and filed, constitute accurate summaries of the terms thereof in all material respects. The statements set forth or incorporated by reference in the Prospectus under the headings “Material U.S. Federal Income Tax Consequences to Non-U.S. Holders,” “Risk Factors,” “Business—Intellectual Property,” “Business—The Merck Healthcare KGaA (Darmstadt, Germany) License Agreement,” “Business—Government Regulation,” “Legal Proceedings,” and “Description of Shares,” insofar as such statements summarize legal matters, agreements, documents or proceedings discussed therein, are accurate and fair summaries, in all material respects, of such legal matters, agreements, documents or proceedings. Neither the Company nor any of its Subsidiaries has sent or received any communication regarding termination of, or intent not to renew or render performance under, any of the contracts or agreements referred to or described in the Prospectus or any free writing prospectus, or referred to or described in, or filed as an exhibit to, the Registration Statement, and no such termination or non-renewal has been threatened by the Company or any of its Subsidiaries or, to the Company’s knowledge, any other party to any such contract or agreement, which threat of termination or non-renewal has not been rescinded as of the date hereof.</w:t>
      </w:r>
    </w:p>
    <w:p>
      <w:pPr>
        <w:spacing w:after="0" w:line="197" w:lineRule="exact"/>
        <w:rPr>
          <w:rFonts w:ascii="Times New Roman" w:cs="Times New Roman" w:eastAsia="Times New Roman" w:hAnsi="Times New Roman"/>
          <w:sz w:val="18"/>
          <w:szCs w:val="18"/>
          <w:color w:val="auto"/>
        </w:rPr>
      </w:pPr>
    </w:p>
    <w:p>
      <w:pPr>
        <w:jc w:val="both"/>
        <w:ind w:left="-460" w:firstLine="644"/>
        <w:spacing w:after="0" w:line="255" w:lineRule="auto"/>
        <w:tabs>
          <w:tab w:leader="none" w:pos="63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Further Requirements</w:t>
      </w:r>
      <w:r>
        <w:rPr>
          <w:rFonts w:ascii="Times New Roman" w:cs="Times New Roman" w:eastAsia="Times New Roman" w:hAnsi="Times New Roman"/>
          <w:sz w:val="18"/>
          <w:szCs w:val="18"/>
          <w:color w:val="auto"/>
        </w:rPr>
        <w:t>. No consent, approval, license, permit, qualification, authorization or other order or decree of, or registration or filing with, any court or other governmental, taxing or regulatory authority or agency, is required for the Company’s execution, delivery and performance of this Agreement or consummation of the transactions contemplated hereby or by the Registration Statement, the Pre-Funded Warrants, the General Disclosure Package and the Prospectus (including the issuance and sale of the Securities hereunder and the issuance of the Warrant Shares upon exercise of the Pre-Funded Warrants), except such as have been already obtained or made or as may be required under the 1933 Act, applicable state securities or Blue Sky laws, applicable rules of Nasdaq, or Rule 5110 of the Financial Industry Regulatory Authority, Inc. (“</w:t>
      </w: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68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Possession of Licenses and Permits</w:t>
      </w:r>
      <w:r>
        <w:rPr>
          <w:rFonts w:ascii="Times New Roman" w:cs="Times New Roman" w:eastAsia="Times New Roman" w:hAnsi="Times New Roman"/>
          <w:sz w:val="18"/>
          <w:szCs w:val="18"/>
          <w:color w:val="auto"/>
        </w:rPr>
        <w:t>. The Company and its Subsidiaries possess and are operating in compliance with such valid and current certificates, authorizations or permits required by United States federal, state or foreign regulatory agencies or bodies to conduct their respective businesses as currently conducted and as described in the Registration Statement, the General Disclosure Package and the Prospectus (collectively, “</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except for any such failure to possess or operate in compliance with as would not reasonably be expected to have, individually or in the aggregate, a Material Adverse Effect. Neither the Company nor any of its Subsidiaries is in violation of, or in default under, any of the Permits or has received any written notice of proceedings relating to the revocation, or modification of, or non-compliance with, any such certificate, authorization or permit, which, individually or in the aggregate, if the subject of an unfavorable decision, ruling or finding, could reasonably be expected to result in a Material Adverse Effect.</w:t>
      </w:r>
    </w:p>
    <w:p>
      <w:pPr>
        <w:spacing w:after="0" w:line="200" w:lineRule="exact"/>
        <w:rPr>
          <w:sz w:val="20"/>
          <w:szCs w:val="20"/>
          <w:color w:val="auto"/>
        </w:rPr>
      </w:pPr>
    </w:p>
    <w:p>
      <w:pPr>
        <w:spacing w:after="0" w:line="20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3" w:name="page14"/>
    <w:bookmarkEnd w:id="13"/>
    <w:p>
      <w:pPr>
        <w:jc w:val="both"/>
        <w:ind w:left="-460" w:firstLine="644"/>
        <w:spacing w:after="0" w:line="251" w:lineRule="auto"/>
        <w:tabs>
          <w:tab w:leader="none" w:pos="69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(i) are and have at all times been in full compliance with all laws, statutes, rules, regulations or guidance applicable to the Company and its Subsidiaries and the ownership, testing, development, manufacture, packaging, processing, use, distribution, marketing, advertising, labeling, promotion, sale, offer for sale, storage, import, export or disposal of any pharmaceuticals or biohazardous substances, materials or any other products developed, manufactured or distributed by the Company (including, without limitation, from the FDA, EMA and any local or other governmental or regulatory authority performing functions similar to those performed by the FDA or EMA) (collectively, “</w:t>
      </w:r>
      <w:r>
        <w:rPr>
          <w:rFonts w:ascii="Times New Roman" w:cs="Times New Roman" w:eastAsia="Times New Roman" w:hAnsi="Times New Roman"/>
          <w:sz w:val="18"/>
          <w:szCs w:val="18"/>
          <w:u w:val="single" w:color="auto"/>
          <w:color w:val="auto"/>
        </w:rPr>
        <w:t>Applicable Laws</w:t>
      </w:r>
      <w:r>
        <w:rPr>
          <w:rFonts w:ascii="Times New Roman" w:cs="Times New Roman" w:eastAsia="Times New Roman" w:hAnsi="Times New Roman"/>
          <w:sz w:val="18"/>
          <w:szCs w:val="18"/>
          <w:color w:val="auto"/>
        </w:rPr>
        <w:t>”), except as could not, individually or in the aggregate, reasonably be expected to result in a Material Adverse Effect, (ii) have not received any notice of adverse finding, warning letter, untitled letter or other correspondence or notice from the FDA or any other federal, state or foreign governmental authority having authority over the Company, any of its Subsidiaries or their activities alleging or asserting noncompliance with any Applicable Laws or any licenses, certificates, approvals, clearances, authorizations, permits and supplements or amendments thereto required by any such Applicable Laws (collectively, the “</w:t>
      </w:r>
      <w:r>
        <w:rPr>
          <w:rFonts w:ascii="Times New Roman" w:cs="Times New Roman" w:eastAsia="Times New Roman" w:hAnsi="Times New Roman"/>
          <w:sz w:val="18"/>
          <w:szCs w:val="18"/>
          <w:u w:val="single" w:color="auto"/>
          <w:color w:val="auto"/>
        </w:rPr>
        <w:t>Governmental Permits</w:t>
      </w:r>
      <w:r>
        <w:rPr>
          <w:rFonts w:ascii="Times New Roman" w:cs="Times New Roman" w:eastAsia="Times New Roman" w:hAnsi="Times New Roman"/>
          <w:sz w:val="18"/>
          <w:szCs w:val="18"/>
          <w:color w:val="auto"/>
        </w:rPr>
        <w:t>”), (iii) have made all filings with, the appropriate local, or other governmental or regulatory agencies or bodies that are necessary for the ownership or lease of their respective properties or the conduct of their respective businesses as described in the Registration Statement, the General Disclosure Package and the Prospectus, except where any failures to possess or make the same would not, singularly or in the aggregate, have a Material Adverse Effect, (iv) possess all material Governmental Permits necessary to conduct their respective businesses as described in the Registration Statement, the General Disclosure Package and the Prospectus, and such Governmental Permits are not in violation of any term of any such Governmental Permits, except where such violation could not, individually or in the aggregate, reasonably be expected to result in a Material Adverse Effect, (v) have filed, obtained, maintained or submitted all material reports, documents, forms, notices, applications, records, claims, submissions and supplements or amendments as required by any Applicable Laws or Governmental Permits and that all such reports, documents, forms, notices, applications, records, claims, submissions and supplements or amendments were complete and correct in all material respects on the date filed (or were corrected or supplemented by a subsequent submission), and (vi) are not a party to any corporate integrity agreements, monitoring agreements, consent decrees, settlement orders or similar agreements with or imposed by any governmental authority. All Governmental Permits are valid and in full force and effect, except where the validity or failure to be in full force and effect would not, individually or in the aggregate, have a Material Adverse Effect. Neither the Company nor any Subsidiary has received notification of any revocation, modification, suspension, termination or invalidation (or proceedings related thereto) of any such Governmental Permit and the Company has no reason to believe that any such Governmental Permit will not be renewed. Neither the Company, any of its Subsidiaries nor, to the Company’s knowledge, any of their respective directors, officers, employees or agents has been convicted of any crime under any Applicable Laws or has been the subject of an FDA debarment proceeding. Neither the Company nor any of its Subsidiaries has been nor is now subject to the FDA’s Application Integrity Policy. To the Company’s knowledge, neither the Company, any of its Subsidiaries nor any of its directors, officers, employees or agents has made, or caused the making of, any false statements on, or material omissions from, any other records or documentation prepared or maintained to comply with the requirements of the FDA or any other governmental authority.</w:t>
      </w:r>
    </w:p>
    <w:p>
      <w:pPr>
        <w:spacing w:after="0" w:line="200" w:lineRule="exact"/>
        <w:rPr>
          <w:sz w:val="20"/>
          <w:szCs w:val="20"/>
          <w:color w:val="auto"/>
        </w:rPr>
      </w:pPr>
    </w:p>
    <w:p>
      <w:pPr>
        <w:spacing w:after="0" w:line="21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4" w:name="page15"/>
    <w:bookmarkEnd w:id="14"/>
    <w:p>
      <w:pPr>
        <w:jc w:val="both"/>
        <w:ind w:left="-460" w:firstLine="644"/>
        <w:spacing w:after="0" w:line="253" w:lineRule="auto"/>
        <w:tabs>
          <w:tab w:leader="none" w:pos="62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Property</w:t>
      </w:r>
      <w:r>
        <w:rPr>
          <w:rFonts w:ascii="Times New Roman" w:cs="Times New Roman" w:eastAsia="Times New Roman" w:hAnsi="Times New Roman"/>
          <w:sz w:val="18"/>
          <w:szCs w:val="18"/>
          <w:color w:val="auto"/>
        </w:rPr>
        <w:t>. The Company and each of its Subsidiaries has good and marketable title in fee simple to all real property owned by them and good and marketable title to all personal property owned by them that is material to their business (except with respect to intellectual property, which is addressed exclusively in Section 1(xxvi) and Section 1(xxvii) below), in each case free and clear of all liens, encumbrances and defects except such as do not materially affect the value of such property and do not interfere with the use made and proposed to be made of such property by the Company or any Subsidiary; and any real property and buildings held under lease by the Company or any of its Subsidiaries are held by them under valid, subsisting and enforceable leases (subject to the effects of (A) bankruptcy, insolvency, fraudulent conveyance, fraudulent transfer, reorganization, moratorium or other similar laws relating to or affecting the rights or remedies of creditors generally; (B) the application of general principles of equity (including, without limitation, concepts of materiality, reasonableness, good faith and fair dealing, regardless of whether enforcement is considered in proceedings at law or in equity); and (C) applicable law and public policy with respect to rights to indemnity and contribution) with such exceptions as are not material and do not interfere with the use made and proposed to be made of such property and buildings by the Company or such Subsidiary.</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51" w:lineRule="auto"/>
        <w:tabs>
          <w:tab w:leader="none" w:pos="67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Intellectual Property</w:t>
      </w:r>
      <w:r>
        <w:rPr>
          <w:rFonts w:ascii="Times New Roman" w:cs="Times New Roman" w:eastAsia="Times New Roman" w:hAnsi="Times New Roman"/>
          <w:sz w:val="18"/>
          <w:szCs w:val="18"/>
          <w:color w:val="auto"/>
        </w:rPr>
        <w:t>. The Company and its Subsidiaries own or possess the right to use all inventions, patent applications, patents, trademarks, trade names, service names, domain names, copyrights, trade secrets, know-how and other intellectual property (collectively,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as are (i) necessary or material for the conduct of their respective businesses as currently conducted or as currently proposed to be conducted and as described in the Registration Statement, the General Disclosure Package and the Prospectus and (ii) necessary or material for the commercialization of the products described in the Registration Statement, the General Disclosure Package and the Prospectus as being under development. There is no pending or, to the Company’s knowledge, threatened (i) action, suit, proceeding, or claim by others challenging the rights of the Company or any of its Subsidiaries in or to any such Intellectual Property that, if decided adversely to the Company or such Subsidiary would, individually or in the aggregate, have a Material Adverse Effect, and the Company is unaware of any facts which would form a reasonable basis for any such claim; (ii) action, suit, proceeding, or claim by others that the Company or any of its Subsidiaries infringes, misappropriates, or otherwise violates any Intellectual Property of others that, if decided adversely to the Company or such Subsidiary would, individually or in the aggregate, have a Material Adverse Effect, and the Company is unaware of any facts which would form a reasonable basis for any such claim; or (iii) action, suit, proceeding, or claim by others challenging the validity, scope, or enforceability of any such Intellectual Property owned or licensed by the Company or its Subsidiaries and the Company is unaware of any facts which would form a reasonable basis for any such claim. To the Company’s knowledge, the operation of the business of the Company and its Subsidiaries as now conducted, and as described in the Prospectus, and in connection with the development and commercialization of the products described in the Prospectus does not infringe, misappropriate, conflict with or otherwise violate any claim of any patent or published patent application of any other person or entity. There is no prior art of which the Company or any of its Subsidiaries is aware that may render any patent owned or licensed by the Company or its Subsidiaries invalid or any patent application owned or licensed by the Company or its Subsidiaries unpatentable which has not been disclosed to the applicable government patent office. The Company’s granted or issued patents, registered trademarks and registered copyrights have been duly maintained and are in full force and effect, and none of the patents, trademarks and copyrights have been adjudged invalid or unenforceable in whole or in part. The Company knows of no infringement, misappropriation or violation by others of any Intellectual Property owned or licensed by the Company or its Subsidiaries which would reasonably be expected to have a Material Adverse Effect. Neither the Company nor any of its Subsidiaries is a party to or bound by any options, licenses or agreements with respect to the Intellectual Property of any other person or entity that are required to be set forth in the Prospectus and that are not described therein in all material respects. The Company and its Subsidiaries have taken all reasonable steps necessary to secure their interests in the Intellectual Property of the Company and its Subsidiaries from their employees and contractors and to protect the confidentiality of all of their confidential information and trade secrets. None of the technology or intellectual property used by the Company and its Subsidiaries in its business has been obtained or is being used by the Company or its Subsidiaries in violation of any contractual obligation binding on the Company or its Subsidiaries, or, to the Company’s knowledge, any of its officers, directors or employees or otherwise in violation of the rights of any persons. No third party has been granted by the Company or its Subsidiaries rights to the Intellectual Property of the Company or its Subsidiaries, including any rights that, if exercised, could enable such party to develop products competitive to those of the Company as described in the Registration Statement, the General Disclosure Package and the Prospectus. All Intellectual Property owned or exclusively licensed by the Company or its Subsidiaries are free and clear of all liens, encumbrances, defects or other restrictions (other than non-exclusive licenses granted in the ordinary course of business), except those that could not reasonably be expected, individually or in the aggregate, to have a Material Adverse Effect. The Company and its Subsidiaries are not subject to any judgment, order, writ, injunction or decree of any court or any federal, state, local, foreign or other governmental department, commission, board, bureau, agency or instrumentality, domestic or foreign, or any arbitrator, nor has it entered into or is it a party to any agreement made in settlement of any pending or threatened litigation, which materially restricts or impairs their use of any Intellectual Property.</w:t>
      </w:r>
    </w:p>
    <w:p>
      <w:pPr>
        <w:spacing w:after="0" w:line="200" w:lineRule="exact"/>
        <w:rPr>
          <w:sz w:val="20"/>
          <w:szCs w:val="20"/>
          <w:color w:val="auto"/>
        </w:rPr>
      </w:pPr>
    </w:p>
    <w:p>
      <w:pPr>
        <w:spacing w:after="0" w:line="21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5" w:name="page16"/>
    <w:bookmarkEnd w:id="15"/>
    <w:p>
      <w:pPr>
        <w:jc w:val="both"/>
        <w:ind w:firstLine="644"/>
        <w:spacing w:after="0" w:line="252" w:lineRule="auto"/>
        <w:tabs>
          <w:tab w:leader="none" w:pos="121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Patents and Patent Applications</w:t>
      </w:r>
      <w:r>
        <w:rPr>
          <w:rFonts w:ascii="Times New Roman" w:cs="Times New Roman" w:eastAsia="Times New Roman" w:hAnsi="Times New Roman"/>
          <w:sz w:val="18"/>
          <w:szCs w:val="18"/>
          <w:color w:val="auto"/>
        </w:rPr>
        <w:t>. The Company has duly and properly filed or caused to be filed with the U.S. Patent and Trademark Office (the “</w:t>
      </w:r>
      <w:r>
        <w:rPr>
          <w:rFonts w:ascii="Times New Roman" w:cs="Times New Roman" w:eastAsia="Times New Roman" w:hAnsi="Times New Roman"/>
          <w:sz w:val="18"/>
          <w:szCs w:val="18"/>
          <w:u w:val="single" w:color="auto"/>
          <w:color w:val="auto"/>
        </w:rPr>
        <w:t>PTO</w:t>
      </w:r>
      <w:r>
        <w:rPr>
          <w:rFonts w:ascii="Times New Roman" w:cs="Times New Roman" w:eastAsia="Times New Roman" w:hAnsi="Times New Roman"/>
          <w:sz w:val="18"/>
          <w:szCs w:val="18"/>
          <w:color w:val="auto"/>
        </w:rPr>
        <w:t>”) and applicable foreign and international patent and trademark authorities all patents, trademarks, copyrights and applications relating to the same owned by the Company and its Subsidiaries (the “</w:t>
      </w:r>
      <w:r>
        <w:rPr>
          <w:rFonts w:ascii="Times New Roman" w:cs="Times New Roman" w:eastAsia="Times New Roman" w:hAnsi="Times New Roman"/>
          <w:sz w:val="18"/>
          <w:szCs w:val="18"/>
          <w:u w:val="single" w:color="auto"/>
          <w:color w:val="auto"/>
        </w:rPr>
        <w:t>Company Patent and Trademark Applications</w:t>
      </w:r>
      <w:r>
        <w:rPr>
          <w:rFonts w:ascii="Times New Roman" w:cs="Times New Roman" w:eastAsia="Times New Roman" w:hAnsi="Times New Roman"/>
          <w:sz w:val="18"/>
          <w:szCs w:val="18"/>
          <w:color w:val="auto"/>
        </w:rPr>
        <w:t>”). To the knowledge of the Company, the Company has complied with the PTO’s duty of candor and disclosure for the Company Patent and Trademark Applications and has made no material misrepresentation in the Company Patent and Trademark Applications. To the Company’s knowledge, the Company Patent and Trademark Applications disclose patentable subject matter. The Company has not been notified of any inventorship challenges nor has any interference been declared or provoked nor is any material fact known by the Company that would preclude the issuance of patents with respect to the Company Patent and Trademark Applications or would render such patents, if issued, invalid or unenforceable. Except as would not have a Material Adverse Effect, neither the Company nor any of its Subsidiaries has breached and is currently in breach of any provision of any license, contract or other agreement governing the use by the Company or its Subsidiaries of Intellectual Property owned by third parties (collectively, the “</w:t>
      </w:r>
      <w:r>
        <w:rPr>
          <w:rFonts w:ascii="Times New Roman" w:cs="Times New Roman" w:eastAsia="Times New Roman" w:hAnsi="Times New Roman"/>
          <w:sz w:val="18"/>
          <w:szCs w:val="18"/>
          <w:u w:val="single" w:color="auto"/>
          <w:color w:val="auto"/>
        </w:rPr>
        <w:t>Licenses</w:t>
      </w:r>
      <w:r>
        <w:rPr>
          <w:rFonts w:ascii="Times New Roman" w:cs="Times New Roman" w:eastAsia="Times New Roman" w:hAnsi="Times New Roman"/>
          <w:sz w:val="18"/>
          <w:szCs w:val="18"/>
          <w:color w:val="auto"/>
        </w:rPr>
        <w:t>”) and no third party has alleged any such breach and the Company is unaware of any facts that would form a reasonable basis for such a claim. To the Company’s knowledge, no other party to the Licenses has breached or is currently in breach of any provision of the Licenses. Each of the Licenses is in full force and effect and constitutes a valid and binding agreement between the parties thereto, enforceable in accordance with its terms, and there has not occurred any breach or default under any such Licenses or any event that, with the giving of notice or lapse of time, would constitute a breach or default thereunder. Except as would not have a Material Adverse Effect, neither the Company nor any of its Subsidiaries has been and is currently involved in any disputes regarding the Licenses. To the Company’s knowledge, all patents licensed to the Company pursuant to the Licenses are valid, enforceable and being duly maintained. To the Company’s knowledge, all patent applications licensed to the Company pursuant to the Licenses are being duly prosecuted.</w:t>
      </w:r>
    </w:p>
    <w:p>
      <w:pPr>
        <w:spacing w:after="0" w:line="191" w:lineRule="exact"/>
        <w:rPr>
          <w:rFonts w:ascii="Times New Roman" w:cs="Times New Roman" w:eastAsia="Times New Roman" w:hAnsi="Times New Roman"/>
          <w:sz w:val="18"/>
          <w:szCs w:val="18"/>
          <w:color w:val="auto"/>
        </w:rPr>
      </w:pPr>
    </w:p>
    <w:p>
      <w:pPr>
        <w:ind w:left="1220" w:hanging="576"/>
        <w:spacing w:after="0"/>
        <w:tabs>
          <w:tab w:leader="none" w:pos="12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Except as could not reasonably be expected, individually or in the aggregate, to have a Material Adverse</w:t>
      </w:r>
    </w:p>
    <w:p>
      <w:pPr>
        <w:spacing w:after="0" w:line="27"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(i) neither the Company nor any of its Subsidiaries is in violation of any United States federal, state or local, or any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emissions, discharges, release or threatened release of chemicals, pollutants, contaminants, wastes, toxic substances, hazardous substances, petroleum or petroleum products (collectively, “</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or otherwise related to the manufacture, processing, distribution, use, treatment, storage, disposal, transport or handling of Hazardous Materials (collectively,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which violation includes, but is not limited to, noncompliance with any permits or other governmental authorizations required for the operation of the business of the Company or any of its Subsidiaries under applicable Environmental Laws, or noncompliance with the terms and conditions thereof, nor has the Company or any of its Subsidiaries received any written communication, whether from a governmental authority, citizens group, employee or otherwise, that alleges that the Company or any of its Subsidiaries is in violation of any Environmental Law; (ii) the Company and its Subsidiaries have all material permits, authorizations and approvals required under any applicable Environmental Laws and are in compliance with their requirements; (iii) there are no pending or, to the Company’s knowledge, threatened administrative, regulatory or judicial actions, suits, demands, demand letters, claims, liens, notices of noncompliance or violation, investigation or proceedings relating to any Environmental Law against the Company or any of its Subsidiaries, or any investigation with respect to which the Company or any of its Subsidiaries has received written notice or any written notice by any person or entity alleging potential liability for investigatory costs, cleanup costs, governmental responses costs, natural resources damages, property damages, personal injuries, attorneys’ fees or penalties arising out of, based on or resulting from the presence, or release into the environment, of any Hazardous Materials at any location owned, leased or operated by the Company or any of its Subsidiaries, now or in the past; and (iv) to the Company’s knowledge, there are no past or present actions, activities, events, conditions, incidents or circumstances that might reasonably be expected to result in a violation of any Environmental Law or form the basis of an order for clean-up or remediation, or an action, suit, investigation or proceeding by any private party or governmental body or agency, against or affecting the Company or any of its Subsidiaries relating to Hazardous Materials or any Environmental Laws.</w:t>
      </w:r>
    </w:p>
    <w:p>
      <w:pPr>
        <w:spacing w:after="0" w:line="206" w:lineRule="exact"/>
        <w:rPr>
          <w:rFonts w:ascii="Times New Roman" w:cs="Times New Roman" w:eastAsia="Times New Roman" w:hAnsi="Times New Roman"/>
          <w:sz w:val="18"/>
          <w:szCs w:val="18"/>
          <w:color w:val="auto"/>
        </w:rPr>
      </w:pPr>
    </w:p>
    <w:p>
      <w:pPr>
        <w:jc w:val="both"/>
        <w:ind w:firstLine="644"/>
        <w:spacing w:after="0" w:line="254" w:lineRule="auto"/>
        <w:tabs>
          <w:tab w:leader="none" w:pos="113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Books and Records</w:t>
      </w:r>
      <w:r>
        <w:rPr>
          <w:rFonts w:ascii="Times New Roman" w:cs="Times New Roman" w:eastAsia="Times New Roman" w:hAnsi="Times New Roman"/>
          <w:sz w:val="18"/>
          <w:szCs w:val="18"/>
          <w:color w:val="auto"/>
        </w:rPr>
        <w:t>. The Company and each of its Subsidiaries make and keep accurate books and records and maintain a system of internal accounting controls sufficient to provide reasonable assurance that: (i) transactions are executed in accordance with management’s general or specific authorization; (ii) transactions are recorded as necessary to permit preparation of financial statements in conformity with GAAP and to maintain accountability for assets; (iii) access to assets is permitted only in accordance with management’s general or specific authorization; (iv) the recorded accountability for assets is compared with existing assets at reasonable intervals and appropriate action is taken with respect to any differences; and (v) the interactive data in eXtensible Business Reporting Language included or incorporated by reference in the Registration Statement, the General Disclosure Package and the Prospectus fairly presents the information called for in all material respects and is prepared in accordance with the Commission’s rules and guidelines applicable thereto.</w:t>
      </w:r>
    </w:p>
    <w:p>
      <w:pPr>
        <w:spacing w:after="0" w:line="200" w:lineRule="exact"/>
        <w:rPr>
          <w:sz w:val="20"/>
          <w:szCs w:val="20"/>
          <w:color w:val="auto"/>
        </w:rPr>
      </w:pPr>
    </w:p>
    <w:p>
      <w:pPr>
        <w:spacing w:after="0" w:line="20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6" w:name="page17"/>
    <w:bookmarkEnd w:id="16"/>
    <w:p>
      <w:pPr>
        <w:jc w:val="both"/>
        <w:ind w:left="4" w:firstLine="644"/>
        <w:spacing w:after="0" w:line="270" w:lineRule="auto"/>
        <w:tabs>
          <w:tab w:leader="none" w:pos="1087"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Accounting Controls and Disclosure Controls</w:t>
      </w:r>
      <w:r>
        <w:rPr>
          <w:rFonts w:ascii="Times New Roman" w:cs="Times New Roman" w:eastAsia="Times New Roman" w:hAnsi="Times New Roman"/>
          <w:sz w:val="17"/>
          <w:szCs w:val="17"/>
          <w:color w:val="auto"/>
        </w:rPr>
        <w:t>. The Company and each of its Subsidiaries have established and maintain disclosure controls and procedures (as defined in Rules 13a-15 and 15d-15 under the 1934 Act), which (i) are designed to ensure that information relating to the Company, including its consolidated Subsidiaries, is made known to the Company’s principal executive officer and its principal financial officer by others within those entities, particularly during the periods in which the periodic reports required under the 1934 Act are being prepared;</w:t>
      </w:r>
    </w:p>
    <w:p>
      <w:pPr>
        <w:spacing w:after="0" w:line="2" w:lineRule="exact"/>
        <w:rPr>
          <w:rFonts w:ascii="Times New Roman" w:cs="Times New Roman" w:eastAsia="Times New Roman" w:hAnsi="Times New Roman"/>
          <w:sz w:val="17"/>
          <w:szCs w:val="17"/>
          <w:color w:val="auto"/>
        </w:rPr>
      </w:pPr>
    </w:p>
    <w:p>
      <w:pPr>
        <w:jc w:val="both"/>
        <w:ind w:left="4" w:hanging="4"/>
        <w:spacing w:after="0" w:line="252" w:lineRule="auto"/>
        <w:tabs>
          <w:tab w:leader="none" w:pos="27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been evaluated by management of the Company for effectiveness as of the end of the Company’s most recent fiscal quarter; and (iii) are effective in all material respects to perform the functions for which they were established. Since the end of the Company’s most recent audited fiscal year, there has been no material weakness in the Company’s internal control over financial reporting (whether or not remediated) and no change in the Company’s internal control over financial reporting, including any corrective actions with regard to significant deficiencies or material weaknesses. The Company is not aware of any change in its internal control over financial reporting that has occurred during its most recent fiscal quarter that has materially affected, or is reasonably likely to materially affect, the Company’s internal control over financial reporting.</w:t>
      </w:r>
    </w:p>
    <w:p>
      <w:pPr>
        <w:spacing w:after="0" w:line="188" w:lineRule="exact"/>
        <w:rPr>
          <w:rFonts w:ascii="Times New Roman" w:cs="Times New Roman" w:eastAsia="Times New Roman" w:hAnsi="Times New Roman"/>
          <w:sz w:val="18"/>
          <w:szCs w:val="18"/>
          <w:color w:val="auto"/>
        </w:rPr>
      </w:pPr>
    </w:p>
    <w:p>
      <w:pPr>
        <w:jc w:val="both"/>
        <w:ind w:left="4" w:firstLine="644"/>
        <w:spacing w:after="0" w:line="253" w:lineRule="auto"/>
        <w:tabs>
          <w:tab w:leader="none" w:pos="113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Tests and Preclinical and Clinical Trials</w:t>
      </w:r>
      <w:r>
        <w:rPr>
          <w:rFonts w:ascii="Times New Roman" w:cs="Times New Roman" w:eastAsia="Times New Roman" w:hAnsi="Times New Roman"/>
          <w:sz w:val="18"/>
          <w:szCs w:val="18"/>
          <w:color w:val="auto"/>
        </w:rPr>
        <w:t>. The research, non-clinical pre-clinical studies and clinical studies and tests conducted or being conducted by or on behalf of the Company or any of its Subsidiaries or in which any of their respective product candidates have participated and, to the Company’s knowledge, the preclinical studies and clinical trials directed or sponsored by the Company’s collaborators (collectively, the “</w:t>
      </w:r>
      <w:r>
        <w:rPr>
          <w:rFonts w:ascii="Times New Roman" w:cs="Times New Roman" w:eastAsia="Times New Roman" w:hAnsi="Times New Roman"/>
          <w:sz w:val="18"/>
          <w:szCs w:val="18"/>
          <w:u w:val="single" w:color="auto"/>
          <w:color w:val="auto"/>
        </w:rPr>
        <w:t>Studies</w:t>
      </w:r>
      <w:r>
        <w:rPr>
          <w:rFonts w:ascii="Times New Roman" w:cs="Times New Roman" w:eastAsia="Times New Roman" w:hAnsi="Times New Roman"/>
          <w:sz w:val="18"/>
          <w:szCs w:val="18"/>
          <w:color w:val="auto"/>
        </w:rPr>
        <w:t>”) that are described in, or the results of which are referred to in, the Registration Statement, the General Disclosure Package and the Prospectus were and, if still pending, are being conducted with reasonable care and in all material respects in accordance with the protocols, procedures and controls pursuant to all Applicable Laws and Governmental Permits and with standard medical and scientific research procedure. Each description of the results of such Studies fairly presents in all material respects the data derived from such Studies. The Company and its Subsidiaries have no knowledge of any other research, non-clinical studies or tests the results of which are inconsistent with, or otherwise call into question, the results described or referred to in the Registration Statement, the General Disclosure Package and the Prospectus. There have been no material serious adverse events resulting from any Study. To the Company’s knowledge, the manufacturing facilities and operations of its suppliers are operated in compliance in all material respects with all Applicable Laws and Governmental Permits.</w:t>
      </w:r>
    </w:p>
    <w:p>
      <w:pPr>
        <w:spacing w:after="0" w:line="191" w:lineRule="exact"/>
        <w:rPr>
          <w:rFonts w:ascii="Times New Roman" w:cs="Times New Roman" w:eastAsia="Times New Roman" w:hAnsi="Times New Roman"/>
          <w:sz w:val="18"/>
          <w:szCs w:val="18"/>
          <w:color w:val="auto"/>
        </w:rPr>
      </w:pPr>
    </w:p>
    <w:p>
      <w:pPr>
        <w:jc w:val="both"/>
        <w:ind w:left="4" w:firstLine="644"/>
        <w:spacing w:after="0" w:line="252" w:lineRule="auto"/>
        <w:tabs>
          <w:tab w:leader="none" w:pos="118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Taxes</w:t>
      </w:r>
      <w:r>
        <w:rPr>
          <w:rFonts w:ascii="Times New Roman" w:cs="Times New Roman" w:eastAsia="Times New Roman" w:hAnsi="Times New Roman"/>
          <w:sz w:val="18"/>
          <w:szCs w:val="18"/>
          <w:color w:val="auto"/>
        </w:rPr>
        <w:t>. All United States federal income tax returns of the Company and its Subsidiaries required by law to be filed have been filed or extensions thereof have been requested (except in any case in which the failure to so file or request an extension would not have a Material Adverse Effect), and all taxes shown by such returns or otherwise assessed, which are due and payable, have been paid, except assessments that are being contested in good faith and as to which adequate reserves have been provided under GAAP and except for such taxes the nonpayment of which would not, individually or in the aggregate, reasonably be expected to result in a Material Adverse Effect. The Company has no knowledge of any material tax deficiency which has been or is likely to be threatened or asserted against the Company or its Subsidiaries. Each of the Company and its Subsidiaries has filed all foreign, state, provincial, local or other tax returns that are required to have been filed pursuant to applicable foreign, state, provincial, local or other law except insofar as the failure to file such returns would not, individually or in the aggregate, reasonably be expected to result in a Material Adverse Effect, and paid all taxes due pursuant to such returns or pursuant to any assessment received by the Company and its Subsidiaries, except for such taxes, if any, as are being contested in good faith and as to which adequate reserves have been provided and except for such taxes or assessments the nonpayment of which would not, individually or in the aggregate, reasonably be expected to result in a Material Adverse Effect. The charges, accruals and reserves on the books of the Company and its Subsidiaries in respect of any income or other tax liability for any years not finally determined are adequate to meet any assessments or re-assessments for additional tax for any years not finally determined, except to the extent of any inadequacy that would not reasonably be expected to result in a Material Adverse Effect. All material taxes which the Company and its Subsidiaries are required by law to withhold or to collect for payment have been duly withheld and collected and have been paid to the appropriate governmental authority or agency or have been accrued, reserved against and entered on the books of the Company and its Subsidiaries.</w:t>
      </w:r>
    </w:p>
    <w:p>
      <w:pPr>
        <w:spacing w:after="0" w:line="200" w:lineRule="exact"/>
        <w:rPr>
          <w:sz w:val="20"/>
          <w:szCs w:val="20"/>
          <w:color w:val="auto"/>
        </w:rPr>
      </w:pPr>
    </w:p>
    <w:p>
      <w:pPr>
        <w:spacing w:after="0" w:line="209"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7" w:name="page18"/>
    <w:bookmarkEnd w:id="17"/>
    <w:p>
      <w:pPr>
        <w:jc w:val="both"/>
        <w:ind w:left="-460" w:firstLine="644"/>
        <w:spacing w:after="0" w:line="254" w:lineRule="auto"/>
        <w:tabs>
          <w:tab w:leader="none" w:pos="78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Each of the Company and its Subsidiaries are insured by recognized and reputable institutions with policies in such amounts and with such deductibles and covering such risks as are reasonably deemed adequate and customary for their businesses including, but not limited to, policies covering real and personal property owned or leased by the Company and its Subsidiaries against theft, damage, destruction, acts of vandalism and earthquakes and policies covering the Company and its Subsidiaries for clinical trial liability claims. The Company has no reason to believe that it or any of its Subsidiaries will not be able (i) to renew its existing insurance coverage as and when such policies expire or (ii) to obtain comparable coverage from similar institutions as may be necessary or appropriate to conduct its business as now conducted and at a cost that could not reasonably be expected to have a Material Adverse Effect. Neither the Company nor any of its Subsidiaries has been denied any material insurance coverage which it has sought or for which it has applied.</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76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The Company is not required, and upon the issuance and sale of the Securities and the Warrant Shares as herein contemplated and the application of the net proceeds therefrom as described in the Registration Statement, the General Disclosure Package and the Prospectus will not be required, to register as an “investment company” under the Investment Company Act of 1940, as amended (the “</w:t>
      </w:r>
      <w:r>
        <w:rPr>
          <w:rFonts w:ascii="Times New Roman" w:cs="Times New Roman" w:eastAsia="Times New Roman" w:hAnsi="Times New Roman"/>
          <w:sz w:val="18"/>
          <w:szCs w:val="18"/>
          <w:u w:val="single" w:color="auto"/>
          <w:color w:val="auto"/>
        </w:rPr>
        <w:t>1940 Act</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71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Manipulation</w:t>
      </w:r>
      <w:r>
        <w:rPr>
          <w:rFonts w:ascii="Times New Roman" w:cs="Times New Roman" w:eastAsia="Times New Roman" w:hAnsi="Times New Roman"/>
          <w:sz w:val="18"/>
          <w:szCs w:val="18"/>
          <w:color w:val="auto"/>
        </w:rPr>
        <w:t>. Neither the Company, nor any of its Subsidiaries, nor to the knowledge of the Company, any of its or their respective directors, officers or controlling persons has taken, directly or indirectly, without giving effect to any actions taken by the Underwriters, (i) any action designed to or that might constitute or reasonably be expected to cause or result in, under the 1934 Act or otherwise, stabilization or manipulation of the price of any security of the Company to facilitate the sale or resale of the Securities or (ii) any action designed to or that might constitute or reasonably be expected to cause or result in a violation of Regulation M under the 1934 Act.</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77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Corrupt Practices Act</w:t>
      </w:r>
      <w:r>
        <w:rPr>
          <w:rFonts w:ascii="Times New Roman" w:cs="Times New Roman" w:eastAsia="Times New Roman" w:hAnsi="Times New Roman"/>
          <w:sz w:val="18"/>
          <w:szCs w:val="18"/>
          <w:color w:val="auto"/>
        </w:rPr>
        <w:t>. None of the Company, any Subsidiary, affiliate, director, officer or employee thereof or, to the Company’s knowledge, any agent, representative or other person acting on behalf of the Company or any of its Subsidiaries or affiliates, is aware of or has taken any action, directly or indirectly, that would result in a violation by such persons of any applicable anti-corruption laws, including the Foreign Corrupt Practices Act of 1977, as amended, and the rules and regulations thereunder (the “</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or otherwise took any action (or failed to fully disclose any action) in contravention of the FCPA; and the Company, its Subsidiaries and each of their respective affiliates have conducted their businesses in compliance in all material respects with the FCPA.</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82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The operations of the Company and its Subsidiaries are and have been conducted at all times in compliance in all material respects with applicable financial recordkeeping and reporting requirements and the money laundering statutes and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and no action, suit, investigation or proceeding by or before any court or governmental agency, authority or body or any arbitrator involving the Company or any of its Subsidiaries with respect to the Money Laundering Laws is pending or, to the Company’s knowledge, threatened.</w:t>
      </w:r>
    </w:p>
    <w:p>
      <w:pPr>
        <w:spacing w:after="0" w:line="200" w:lineRule="exact"/>
        <w:rPr>
          <w:sz w:val="20"/>
          <w:szCs w:val="20"/>
          <w:color w:val="auto"/>
        </w:rPr>
      </w:pPr>
    </w:p>
    <w:p>
      <w:pPr>
        <w:spacing w:after="0" w:line="20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8" w:name="page19"/>
    <w:bookmarkEnd w:id="18"/>
    <w:p>
      <w:pPr>
        <w:jc w:val="both"/>
        <w:ind w:firstLine="644"/>
        <w:spacing w:after="0" w:line="253" w:lineRule="auto"/>
        <w:tabs>
          <w:tab w:leader="none" w:pos="132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Neither the Company nor any of its Subsidiaries, nor any director or officer thereof, nor, to the Company’s knowledge, any employee, agent, affiliate or representative of the Company or any of its Subsidiaries, is currently or is owned or controlled by an individual or entity that is subject to any sanctions administered or enforced by the United States government (including, without limitation, the Office of Foreign Assets Control of the United States Department of the Treasury), the United Nations Security Council, the European Union, His Majesty’s Treasury or other relevant sanctions authority (collectively,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or is located, organized or resident in a country or territory that is the subject or target of Sanctions; and the Company will not directly or indirectly use the proceeds of the sale of the Securities, or lend, contribute or otherwise make available such proceeds to any Subsidiary, or any joint venture partner or other person or entity, for the purpose of financing or facilitating the activities of or business of any person or entity, or in any country or territory, that currently or at the time of such financing or facilitation is the subject of any Sanctions or in any other manner that will result in a violation by any person or entity (including any person participating in the transactions contemplated by this Agreement) of any Sanctions. For the past five years, the Company and its Subsidiaries have not knowingly engaged in and are not now knowingly engaged in any dealings or transactions with any person or entity, or in any country or territory, that at the time of the dealing or transaction is or was the subject of Sanctions.</w:t>
      </w:r>
    </w:p>
    <w:p>
      <w:pPr>
        <w:spacing w:after="0" w:line="189" w:lineRule="exact"/>
        <w:rPr>
          <w:rFonts w:ascii="Times New Roman" w:cs="Times New Roman" w:eastAsia="Times New Roman" w:hAnsi="Times New Roman"/>
          <w:sz w:val="18"/>
          <w:szCs w:val="18"/>
          <w:color w:val="auto"/>
        </w:rPr>
      </w:pPr>
    </w:p>
    <w:p>
      <w:pPr>
        <w:jc w:val="both"/>
        <w:ind w:firstLine="644"/>
        <w:spacing w:after="0" w:line="256" w:lineRule="auto"/>
        <w:tabs>
          <w:tab w:leader="none" w:pos="122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Outbound Investment Security Program</w:t>
      </w:r>
      <w:r>
        <w:rPr>
          <w:rFonts w:ascii="Times New Roman" w:cs="Times New Roman" w:eastAsia="Times New Roman" w:hAnsi="Times New Roman"/>
          <w:sz w:val="18"/>
          <w:szCs w:val="18"/>
          <w:color w:val="auto"/>
        </w:rPr>
        <w:t>. Neither the Company nor any of its Subsidiaries is a “covered foreign person”, as that term is defined in 31 C.F.R. § 850.209. Neither the Company nor any of its Subsidiaries currently engages, or has plans to engage, directly or indirectly, in a “covered activity”, as that term is defined in 31 C.F.R. § 850.208 (“</w:t>
      </w:r>
      <w:r>
        <w:rPr>
          <w:rFonts w:ascii="Times New Roman" w:cs="Times New Roman" w:eastAsia="Times New Roman" w:hAnsi="Times New Roman"/>
          <w:sz w:val="18"/>
          <w:szCs w:val="18"/>
          <w:u w:val="single" w:color="auto"/>
          <w:color w:val="auto"/>
        </w:rPr>
        <w:t>Covered Activity</w:t>
      </w:r>
      <w:r>
        <w:rPr>
          <w:rFonts w:ascii="Times New Roman" w:cs="Times New Roman" w:eastAsia="Times New Roman" w:hAnsi="Times New Roman"/>
          <w:sz w:val="18"/>
          <w:szCs w:val="18"/>
          <w:color w:val="auto"/>
        </w:rPr>
        <w:t>”). The Company does not have any joint ventures that engage in or plan to engage in any Covered Activity. The Company also does not, directly or indirectly, hold a board seat on, have a voting or equity interest in, or have any contractual power to direct or cause the direction of the management or policies of any person or persons that engages or plans to engage in any Covered Activity.</w:t>
      </w:r>
    </w:p>
    <w:p>
      <w:pPr>
        <w:spacing w:after="0" w:line="18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(xl) </w:t>
      </w:r>
      <w:r>
        <w:rPr>
          <w:rFonts w:ascii="Times New Roman" w:cs="Times New Roman" w:eastAsia="Times New Roman" w:hAnsi="Times New Roman"/>
          <w:sz w:val="18"/>
          <w:szCs w:val="18"/>
          <w:u w:val="single" w:color="auto"/>
          <w:color w:val="auto"/>
        </w:rPr>
        <w:t>Lending Relationship</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Except as disclosed in the Registration Statement, the General Disclosure Package and the Prospectus, the Company (i) does not have any material lending or other relationship with any banking or lending affiliate of any Underwriter and (ii) does not intend to use any of the proceeds from the sale of the Securities to repay any outstanding debt owed to any affiliate of any Underwriter.</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(xli) </w:t>
      </w:r>
      <w:r>
        <w:rPr>
          <w:rFonts w:ascii="Times New Roman" w:cs="Times New Roman" w:eastAsia="Times New Roman" w:hAnsi="Times New Roman"/>
          <w:sz w:val="18"/>
          <w:szCs w:val="18"/>
          <w:u w:val="single" w:color="auto"/>
          <w:color w:val="auto"/>
        </w:rPr>
        <w:t>Maintenance of Rating</w:t>
      </w:r>
      <w:r>
        <w:rPr>
          <w:rFonts w:ascii="Times New Roman" w:cs="Times New Roman" w:eastAsia="Times New Roman" w:hAnsi="Times New Roman"/>
          <w:sz w:val="18"/>
          <w:szCs w:val="18"/>
          <w:color w:val="auto"/>
        </w:rPr>
        <w:t>. The Company has no debt securities or preference shares that are rated by any “nationally recognized statistical rating organization” (as that term is defined by the Commission for purposes of Rule 436(g)(2) under the 1933 Act).</w:t>
      </w:r>
    </w:p>
    <w:p>
      <w:pPr>
        <w:spacing w:after="0" w:line="37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9" w:name="page20"/>
    <w:bookmarkEnd w:id="19"/>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(xlii) </w:t>
      </w:r>
      <w:r>
        <w:rPr>
          <w:rFonts w:ascii="Times New Roman" w:cs="Times New Roman" w:eastAsia="Times New Roman" w:hAnsi="Times New Roman"/>
          <w:sz w:val="18"/>
          <w:szCs w:val="18"/>
          <w:u w:val="single" w:color="auto"/>
          <w:color w:val="auto"/>
        </w:rPr>
        <w:t>Privacy and Data Protection</w:t>
      </w:r>
      <w:r>
        <w:rPr>
          <w:rFonts w:ascii="Times New Roman" w:cs="Times New Roman" w:eastAsia="Times New Roman" w:hAnsi="Times New Roman"/>
          <w:sz w:val="18"/>
          <w:szCs w:val="18"/>
          <w:color w:val="auto"/>
        </w:rPr>
        <w:t>. To the Company’s knowledge, the Company and its Subsidiaries’ information technology assets and equipment, computers, systems, networks, hardware, software, websites, applications, and databases (collectively, “</w:t>
      </w:r>
      <w:r>
        <w:rPr>
          <w:rFonts w:ascii="Times New Roman" w:cs="Times New Roman" w:eastAsia="Times New Roman" w:hAnsi="Times New Roman"/>
          <w:sz w:val="18"/>
          <w:szCs w:val="18"/>
          <w:u w:val="single" w:color="auto"/>
          <w:color w:val="auto"/>
        </w:rPr>
        <w:t>IT Systems</w:t>
      </w:r>
      <w:r>
        <w:rPr>
          <w:rFonts w:ascii="Times New Roman" w:cs="Times New Roman" w:eastAsia="Times New Roman" w:hAnsi="Times New Roman"/>
          <w:sz w:val="18"/>
          <w:szCs w:val="18"/>
          <w:color w:val="auto"/>
        </w:rPr>
        <w:t>”) are adequate for, and operate and perform in all respects as required in connection with the operation of the business of the Company and its Subsidiaries as currently conducted, free and clear of all material bugs, errors, defects, Trojan horses, time bombs, malware and other corruptants, except as would not reasonably be expected to result in a Material Adverse Effect. The Company and its Subsidiaries have implemented and maintained commercially reasonable physical, technical and administrative controls, policies, procedures, and safeguards to maintain and protect their material confidential information and the integrity, continuous operation, redundancy and security of all IT Systems and data, including “</w:t>
      </w:r>
      <w:r>
        <w:rPr>
          <w:rFonts w:ascii="Times New Roman" w:cs="Times New Roman" w:eastAsia="Times New Roman" w:hAnsi="Times New Roman"/>
          <w:sz w:val="18"/>
          <w:szCs w:val="18"/>
          <w:u w:val="single" w:color="auto"/>
          <w:color w:val="auto"/>
        </w:rPr>
        <w:t>Personal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Data</w:t>
      </w:r>
      <w:r>
        <w:rPr>
          <w:rFonts w:ascii="Times New Roman" w:cs="Times New Roman" w:eastAsia="Times New Roman" w:hAnsi="Times New Roman"/>
          <w:sz w:val="18"/>
          <w:szCs w:val="18"/>
          <w:color w:val="auto"/>
        </w:rPr>
        <w:t>,” used in connection with their businesses. “</w:t>
      </w:r>
      <w:r>
        <w:rPr>
          <w:rFonts w:ascii="Times New Roman" w:cs="Times New Roman" w:eastAsia="Times New Roman" w:hAnsi="Times New Roman"/>
          <w:sz w:val="18"/>
          <w:szCs w:val="18"/>
          <w:u w:val="single" w:color="auto"/>
          <w:color w:val="auto"/>
        </w:rPr>
        <w:t>Personal Data</w:t>
      </w:r>
      <w:r>
        <w:rPr>
          <w:rFonts w:ascii="Times New Roman" w:cs="Times New Roman" w:eastAsia="Times New Roman" w:hAnsi="Times New Roman"/>
          <w:sz w:val="18"/>
          <w:szCs w:val="18"/>
          <w:color w:val="auto"/>
        </w:rPr>
        <w:t>” means (i) a natural person’s name, street address, telephone number, e-mail address, photograph, social security number or tax identification number, driver’s license number, passport number, credit card number, bank information, or customer or account number; (ii) any information which would qualify as “personally identifying information” under the Federal Trade Commission Act, as amended; (iii) if applicable to the Company, “personal data” as defined by EU General Data Protection Regulation; (iv) if applicable to the Company, any information which would qualify as “protected health information” under HIPAA; and (v) any other piece of information that allows the identification of such natural person, or his or her family, or permits the collection or analysis of any data related to an identified person’s health or sexual orientation. To the Company’s knowledge, there have been no breaches, violations, outages or unauthorized uses of or accesses to same, except for those that have been remedied without material cost or liability or the duty to notify any other person, nor any incidents under internal review or investigations relating to the same. The Company and its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 except where such failure to comply would not reasonably be expected to result in a Material Adverse Effect.</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(xliii) </w:t>
      </w:r>
      <w:r>
        <w:rPr>
          <w:rFonts w:ascii="Times New Roman" w:cs="Times New Roman" w:eastAsia="Times New Roman" w:hAnsi="Times New Roman"/>
          <w:sz w:val="18"/>
          <w:szCs w:val="18"/>
          <w:u w:val="single" w:color="auto"/>
          <w:color w:val="auto"/>
        </w:rPr>
        <w:t>No Broker Fees</w:t>
      </w:r>
      <w:r>
        <w:rPr>
          <w:rFonts w:ascii="Times New Roman" w:cs="Times New Roman" w:eastAsia="Times New Roman" w:hAnsi="Times New Roman"/>
          <w:sz w:val="18"/>
          <w:szCs w:val="18"/>
          <w:color w:val="auto"/>
        </w:rPr>
        <w:t>. No person (as such term is defined in Rule 1-02 of Regulation S-X promulgated under the 1933 Act) has the right to act as an underwriter or as a financial advisor to the Company in connection with the offer and sale of the Securities hereunder, whether as a result of the filing or effectiveness of the Registration Statement or the sale of the Securities as contemplated hereby or otherwise. Except for the Underwriters, there is no broker, finder or other party that is entitled to receive from the Company or any of its Subsidiaries any brokerage or finder’s fee or other fee or commission as a result of any transactions contemplated by this Agreement.</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(xliv) </w:t>
      </w:r>
      <w:r>
        <w:rPr>
          <w:rFonts w:ascii="Times New Roman" w:cs="Times New Roman" w:eastAsia="Times New Roman" w:hAnsi="Times New Roman"/>
          <w:sz w:val="18"/>
          <w:szCs w:val="18"/>
          <w:u w:val="single" w:color="auto"/>
          <w:color w:val="auto"/>
        </w:rPr>
        <w:t>No Conflict</w:t>
      </w:r>
      <w:r>
        <w:rPr>
          <w:rFonts w:ascii="Times New Roman" w:cs="Times New Roman" w:eastAsia="Times New Roman" w:hAnsi="Times New Roman"/>
          <w:sz w:val="18"/>
          <w:szCs w:val="18"/>
          <w:color w:val="auto"/>
        </w:rPr>
        <w:t>. Neither the execution and delivery by the Company of, nor the performance of the Company of its obligations under, this Agreement or the Pre-Funded Warrants will conflict with, result in a breach or violation of, or result in the creation or imposition of any lien, charge or encumbrance upon any property or assets of the Company or any of its Subsidiaries pursuant to: (i) the Memorandum and Articles of Association, bylaws, limited liability company agreement, certificate or agreement of limited or general partnership or other similar organizational documents, as the case may be, of such entity, (ii) the terms of any indenture, contract, license, lease, mortgage, deed of trust, note agreement, agreement or other instrument, obligation, condition, covenant or instrument to which it is a party or bound or to which its property or assets is subject or (iii) any statute, law, rule, regulation, judgment, order or decree applicable to the Company or any of its Subsidiaries of any court, regulatory body, administrative agency, governmental body, arbitrator or other authority having jurisdiction over the Company, any of its Subsidiaries or any of their respective properties or assets, as applicable, except, in the case of clauses (ii) and (iii) above, for any such conflict, breach, violation or default that would not, individually or in the aggregate, have a Material Adverse Effect.</w:t>
      </w:r>
    </w:p>
    <w:p>
      <w:pPr>
        <w:spacing w:after="0" w:line="200" w:lineRule="exact"/>
        <w:rPr>
          <w:sz w:val="20"/>
          <w:szCs w:val="20"/>
          <w:color w:val="auto"/>
        </w:rPr>
      </w:pPr>
    </w:p>
    <w:p>
      <w:pPr>
        <w:spacing w:after="0" w:line="21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0" w:name="page21"/>
    <w:bookmarkEnd w:id="20"/>
    <w:p>
      <w:pPr>
        <w:jc w:val="both"/>
        <w:ind w:left="4" w:firstLine="648"/>
        <w:spacing w:after="0" w:line="253" w:lineRule="auto"/>
        <w:rPr>
          <w:sz w:val="20"/>
          <w:szCs w:val="20"/>
          <w:color w:val="auto"/>
        </w:rPr>
      </w:pPr>
      <w:r>
        <w:rPr>
          <w:rFonts w:ascii="Times New Roman" w:cs="Times New Roman" w:eastAsia="Times New Roman" w:hAnsi="Times New Roman"/>
          <w:sz w:val="18"/>
          <w:szCs w:val="18"/>
          <w:color w:val="auto"/>
        </w:rPr>
        <w:t xml:space="preserve">(xlv)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are no actions, suits, claims, investigations or proceedings pending or, to the Company’s knowledge, threatened to which the Company or any of the Subsidiaries is or would be a party, or of which any of the respective properties or assets of the Company and the Subsidiaries is or would be subject, at law or in equity, before any court or arbitral body or by or before any federal, state, local or foreign governmental or regulatory commission, board, body, authority or agency, that (i) are required to be described in the Registration Statement, the General Disclosure Package or the Prospectus and are not so described, (ii) could reasonably be expected to have a material adverse effect on the ability of the Company to perform its obligations under this Agreement or on the consummation of any of the transactions contemplated hereby or</w:t>
      </w:r>
    </w:p>
    <w:p>
      <w:pPr>
        <w:spacing w:after="0" w:line="5" w:lineRule="exact"/>
        <w:rPr>
          <w:sz w:val="20"/>
          <w:szCs w:val="20"/>
          <w:color w:val="auto"/>
        </w:rPr>
      </w:pPr>
    </w:p>
    <w:p>
      <w:pPr>
        <w:jc w:val="both"/>
        <w:ind w:left="4" w:hanging="4"/>
        <w:spacing w:after="0" w:line="253" w:lineRule="auto"/>
        <w:tabs>
          <w:tab w:leader="none" w:pos="32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could reasonably be expected to have a Material Adverse Effect. The aggregate of all pending legal or governmental proceedings to which the Company or any of its Subsidiaries is a party or of which any of their respective properties or assets is the subject which are not described in the Prospectus, including ordinary routine litigation incidental to the Company’s business, could not reasonably be expected to (A) result in a Material Adverse Effect or (B) have a material adverse effect on the ability of the Company to perform its obligations under this Agreement or the consummation of any of the transactions contemplated hereby.</w:t>
      </w:r>
    </w:p>
    <w:p>
      <w:pPr>
        <w:spacing w:after="0" w:line="187" w:lineRule="exact"/>
        <w:rPr>
          <w:sz w:val="20"/>
          <w:szCs w:val="20"/>
          <w:color w:val="auto"/>
        </w:rPr>
      </w:pPr>
    </w:p>
    <w:p>
      <w:pPr>
        <w:jc w:val="both"/>
        <w:ind w:left="4" w:firstLine="648"/>
        <w:spacing w:after="0" w:line="282" w:lineRule="auto"/>
        <w:rPr>
          <w:sz w:val="20"/>
          <w:szCs w:val="20"/>
          <w:color w:val="auto"/>
        </w:rPr>
      </w:pPr>
      <w:r>
        <w:rPr>
          <w:rFonts w:ascii="Times New Roman" w:cs="Times New Roman" w:eastAsia="Times New Roman" w:hAnsi="Times New Roman"/>
          <w:sz w:val="18"/>
          <w:szCs w:val="18"/>
          <w:color w:val="auto"/>
        </w:rPr>
        <w:t xml:space="preserve">(xlvi) </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 The Company owns or leases all such real properties as are necessary to the conduct of its operations as presently conducted in all material respects.</w:t>
      </w:r>
    </w:p>
    <w:p>
      <w:pPr>
        <w:spacing w:after="0" w:line="162" w:lineRule="exact"/>
        <w:rPr>
          <w:sz w:val="20"/>
          <w:szCs w:val="20"/>
          <w:color w:val="auto"/>
        </w:rPr>
      </w:pPr>
    </w:p>
    <w:p>
      <w:pPr>
        <w:jc w:val="both"/>
        <w:ind w:left="4" w:firstLine="648"/>
        <w:spacing w:after="0" w:line="266" w:lineRule="auto"/>
        <w:rPr>
          <w:sz w:val="20"/>
          <w:szCs w:val="20"/>
          <w:color w:val="auto"/>
        </w:rPr>
      </w:pPr>
      <w:r>
        <w:rPr>
          <w:rFonts w:ascii="Times New Roman" w:cs="Times New Roman" w:eastAsia="Times New Roman" w:hAnsi="Times New Roman"/>
          <w:sz w:val="18"/>
          <w:szCs w:val="18"/>
          <w:color w:val="auto"/>
        </w:rPr>
        <w:t xml:space="preserve">(xlvii) </w:t>
      </w: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There are no transfer taxes or other similar fees or charges under federal law, the laws of any state, any foreign law, or any political subdivision thereof, required to be paid in connection with the execution and delivery of this Agreement or the issuance or sale by the Company of the Securities.</w:t>
      </w:r>
    </w:p>
    <w:p>
      <w:pPr>
        <w:spacing w:after="0" w:line="176" w:lineRule="exact"/>
        <w:rPr>
          <w:sz w:val="20"/>
          <w:szCs w:val="20"/>
          <w:color w:val="auto"/>
        </w:rPr>
      </w:pPr>
    </w:p>
    <w:p>
      <w:pPr>
        <w:jc w:val="both"/>
        <w:ind w:left="4" w:firstLine="648"/>
        <w:spacing w:after="0" w:line="253" w:lineRule="auto"/>
        <w:rPr>
          <w:sz w:val="20"/>
          <w:szCs w:val="20"/>
          <w:color w:val="auto"/>
        </w:rPr>
      </w:pPr>
      <w:r>
        <w:rPr>
          <w:rFonts w:ascii="Times New Roman" w:cs="Times New Roman" w:eastAsia="Times New Roman" w:hAnsi="Times New Roman"/>
          <w:sz w:val="18"/>
          <w:szCs w:val="18"/>
          <w:color w:val="auto"/>
        </w:rPr>
        <w:t xml:space="preserve">(xlviii)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The Company and any “employee benefit plan” (as defined under the Employee Retirement Income Security Act of 1974, as amended, and the regulations and published interpretations thereunder (collectively,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established or maintained by the Company, or its “ERISA Affiliates” (as defined below) are in compliance with ERISA, except as would not reasonably be expected to have, individually or in the aggregate, a Material Adverse Effect. “ERISA Affiliates” means, with respect to the Company, any member of any group of organizations described in Sections 414(b), (c), (m) or (o) of the Internal Revenue Code of 1986, as amended, and the regulations and published interpretations thereunder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of which the Company is a member. No “reportable event” (as defined under ERISA) has occurred or is reasonably expected to occur with respect to any “employee benefit plan” established or maintained by the Company, or any of its ERISA Affiliates. No “employee benefit plan” established or maintained by the Company or any of its ERISA Affiliates, if such “employee benefit plan” were terminated, would have any “amount of unfunded benefit liabilities” (as defined under ERISA). Neither the Company nor any of its ERISA Affiliates has incurred or reasonably expects to incur any liability under (i) Title IV of ERISA with respect to termination of, or withdrawal from, any “employee benefit plan” or (ii) Sections 412, 4971, 4975 or 4980B of the Code. Each “employee benefit plan” established or maintained by the Company or any of its ERISA Affiliates that is intended to be qualified under Section 401(a) of the Code is so qualified and nothing has occurred, whether by action or failure to act, which would cause the loss of such qualification.</w:t>
      </w:r>
    </w:p>
    <w:p>
      <w:pPr>
        <w:spacing w:after="0" w:line="187" w:lineRule="exact"/>
        <w:rPr>
          <w:sz w:val="20"/>
          <w:szCs w:val="20"/>
          <w:color w:val="auto"/>
        </w:rPr>
      </w:pPr>
    </w:p>
    <w:p>
      <w:pPr>
        <w:jc w:val="both"/>
        <w:ind w:left="4" w:firstLine="648"/>
        <w:spacing w:after="0" w:line="255" w:lineRule="auto"/>
        <w:rPr>
          <w:sz w:val="20"/>
          <w:szCs w:val="20"/>
          <w:color w:val="auto"/>
        </w:rPr>
      </w:pPr>
      <w:r>
        <w:rPr>
          <w:rFonts w:ascii="Times New Roman" w:cs="Times New Roman" w:eastAsia="Times New Roman" w:hAnsi="Times New Roman"/>
          <w:sz w:val="18"/>
          <w:szCs w:val="18"/>
          <w:color w:val="auto"/>
        </w:rPr>
        <w:t xml:space="preserve">(xlix) </w:t>
      </w:r>
      <w:r>
        <w:rPr>
          <w:rFonts w:ascii="Times New Roman" w:cs="Times New Roman" w:eastAsia="Times New Roman" w:hAnsi="Times New Roman"/>
          <w:sz w:val="18"/>
          <w:szCs w:val="18"/>
          <w:u w:val="single" w:color="auto"/>
          <w:color w:val="auto"/>
        </w:rPr>
        <w:t>Anti-Corruption</w:t>
      </w:r>
      <w:r>
        <w:rPr>
          <w:rFonts w:ascii="Times New Roman" w:cs="Times New Roman" w:eastAsia="Times New Roman" w:hAnsi="Times New Roman"/>
          <w:sz w:val="18"/>
          <w:szCs w:val="18"/>
          <w:color w:val="auto"/>
        </w:rPr>
        <w:t>. Neither the Company, any of its Subsidiaries, nor, to the knowledge of the Company, any of their respective directors, officers, agents, employees or affiliates, has taken or will take any action in furtherance of an offer, payment, promise to pay, or authorization or approval of the unlawful payment or giving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to influence official action or secure an improper advantage; and the Company, each of its Subsidiaries and, to the Company’s knowledge, each of their respective affiliates have conducted their businesses in compliance with applicable anti-corruption laws.</w:t>
      </w:r>
    </w:p>
    <w:p>
      <w:pPr>
        <w:spacing w:after="0" w:line="200" w:lineRule="exact"/>
        <w:rPr>
          <w:sz w:val="20"/>
          <w:szCs w:val="20"/>
          <w:color w:val="auto"/>
        </w:rPr>
      </w:pPr>
    </w:p>
    <w:p>
      <w:pPr>
        <w:spacing w:after="0" w:line="205"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1" w:name="page22"/>
    <w:bookmarkEnd w:id="21"/>
    <w:p>
      <w:pPr>
        <w:jc w:val="both"/>
        <w:ind w:left="4" w:firstLine="644"/>
        <w:spacing w:after="0" w:line="254" w:lineRule="auto"/>
        <w:tabs>
          <w:tab w:leader="none" w:pos="86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Broker-Dealer Registration</w:t>
      </w:r>
      <w:r>
        <w:rPr>
          <w:rFonts w:ascii="Times New Roman" w:cs="Times New Roman" w:eastAsia="Times New Roman" w:hAnsi="Times New Roman"/>
          <w:sz w:val="18"/>
          <w:szCs w:val="18"/>
          <w:color w:val="auto"/>
        </w:rPr>
        <w:t>. The Company is not required to register as a “broker” or “dealer” in accordance with the provisions of the 1934 Act and does not, directly or indirectly through one or more intermediaries, control or have any other association with (within the meaning of Article I of the By-laws of FINRA) any member firm of FINRA. No relationship, direct or indirect, exists between or among the Company, on the one hand, and the directors, officers or shareholders of the Company, on the other hand, which is required by the rules of FINRA to be described in the Registration Statement, the General Disclosure Package and the Prospectus, which is not so described. All of the information (including, but not limited to, information regarding affiliations, security ownership and trading activity) provided to the Underwriters or its counsel by the Company, its officers and directors and the holders of any securities (debt or equity) or warrants, options or rights to acquire any securities of the Company in connection with the filing to be made and other supplemental information to be provided to FINRA pursuant to FINRA Rule 5110 in connection with the transactions contemplated by this Agreement is true, complete and correct.</w:t>
      </w:r>
    </w:p>
    <w:p>
      <w:pPr>
        <w:spacing w:after="0" w:line="188" w:lineRule="exact"/>
        <w:rPr>
          <w:sz w:val="20"/>
          <w:szCs w:val="20"/>
          <w:color w:val="auto"/>
        </w:rPr>
      </w:pPr>
    </w:p>
    <w:p>
      <w:pPr>
        <w:jc w:val="both"/>
        <w:ind w:left="4" w:firstLine="648"/>
        <w:spacing w:after="0" w:line="266" w:lineRule="auto"/>
        <w:rPr>
          <w:sz w:val="20"/>
          <w:szCs w:val="20"/>
          <w:color w:val="auto"/>
        </w:rPr>
      </w:pPr>
      <w:r>
        <w:rPr>
          <w:rFonts w:ascii="Times New Roman" w:cs="Times New Roman" w:eastAsia="Times New Roman" w:hAnsi="Times New Roman"/>
          <w:sz w:val="18"/>
          <w:szCs w:val="18"/>
          <w:color w:val="auto"/>
        </w:rPr>
        <w:t xml:space="preserve">(li) </w:t>
      </w:r>
      <w:r>
        <w:rPr>
          <w:rFonts w:ascii="Times New Roman" w:cs="Times New Roman" w:eastAsia="Times New Roman" w:hAnsi="Times New Roman"/>
          <w:sz w:val="18"/>
          <w:szCs w:val="18"/>
          <w:u w:val="single" w:color="auto"/>
          <w:color w:val="auto"/>
        </w:rPr>
        <w:t>Margin Rules</w:t>
      </w:r>
      <w:r>
        <w:rPr>
          <w:rFonts w:ascii="Times New Roman" w:cs="Times New Roman" w:eastAsia="Times New Roman" w:hAnsi="Times New Roman"/>
          <w:sz w:val="18"/>
          <w:szCs w:val="18"/>
          <w:color w:val="auto"/>
        </w:rPr>
        <w:t>. Neither the issuance, sale and delivery of the Securities, nor the application of the proceeds thereof by the Company as described in the Registration Statement, the General Disclosure Package and the Prospectus will violate Regulation T, U or X of the Board of Governors of the Federal Reserve System or any other regulation of such Board of Governors.</w:t>
      </w:r>
    </w:p>
    <w:p>
      <w:pPr>
        <w:spacing w:after="0" w:line="176" w:lineRule="exact"/>
        <w:rPr>
          <w:sz w:val="20"/>
          <w:szCs w:val="20"/>
          <w:color w:val="auto"/>
        </w:rPr>
      </w:pPr>
    </w:p>
    <w:p>
      <w:pPr>
        <w:jc w:val="both"/>
        <w:ind w:left="4" w:firstLine="648"/>
        <w:spacing w:after="0" w:line="261" w:lineRule="auto"/>
        <w:rPr>
          <w:sz w:val="20"/>
          <w:szCs w:val="20"/>
          <w:color w:val="auto"/>
        </w:rPr>
      </w:pPr>
      <w:r>
        <w:rPr>
          <w:rFonts w:ascii="Times New Roman" w:cs="Times New Roman" w:eastAsia="Times New Roman" w:hAnsi="Times New Roman"/>
          <w:sz w:val="18"/>
          <w:szCs w:val="18"/>
          <w:color w:val="auto"/>
        </w:rPr>
        <w:t xml:space="preserve">(lii) </w:t>
      </w:r>
      <w:r>
        <w:rPr>
          <w:rFonts w:ascii="Times New Roman" w:cs="Times New Roman" w:eastAsia="Times New Roman" w:hAnsi="Times New Roman"/>
          <w:sz w:val="18"/>
          <w:szCs w:val="18"/>
          <w:u w:val="single" w:color="auto"/>
          <w:color w:val="auto"/>
        </w:rPr>
        <w:t>Director Independence</w:t>
      </w:r>
      <w:r>
        <w:rPr>
          <w:rFonts w:ascii="Times New Roman" w:cs="Times New Roman" w:eastAsia="Times New Roman" w:hAnsi="Times New Roman"/>
          <w:sz w:val="18"/>
          <w:szCs w:val="18"/>
          <w:color w:val="auto"/>
        </w:rPr>
        <w:t>. Each of the independent directors (or independent director nominees, once appointed, if applicable) named in the Registration Statement, General Disclosure Package and Prospectus satisfies the independence standards established by Nasdaq and, with respect to members of the Company’s audit committee, the enhanced independence standards contained in Rule 10A-3(b)(1) promulgated by the Commission under the 1934 Act.</w:t>
      </w:r>
    </w:p>
    <w:p>
      <w:pPr>
        <w:spacing w:after="0" w:line="180" w:lineRule="exact"/>
        <w:rPr>
          <w:sz w:val="20"/>
          <w:szCs w:val="20"/>
          <w:color w:val="auto"/>
        </w:rPr>
      </w:pPr>
    </w:p>
    <w:p>
      <w:pPr>
        <w:jc w:val="both"/>
        <w:ind w:left="4" w:firstLine="648"/>
        <w:spacing w:after="0" w:line="266" w:lineRule="auto"/>
        <w:rPr>
          <w:sz w:val="20"/>
          <w:szCs w:val="20"/>
          <w:color w:val="auto"/>
        </w:rPr>
      </w:pPr>
      <w:r>
        <w:rPr>
          <w:rFonts w:ascii="Times New Roman" w:cs="Times New Roman" w:eastAsia="Times New Roman" w:hAnsi="Times New Roman"/>
          <w:sz w:val="18"/>
          <w:szCs w:val="18"/>
          <w:color w:val="auto"/>
        </w:rPr>
        <w:t xml:space="preserve">(liii) </w:t>
      </w: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Neither the Company nor, to the Company’s knowledge, any of its affiliates (within the meaning of Rule 144 under the 1933 Act) has, prior to the date hereof, made any offer or sale of any securities which could be “integrated” (within the meaning of the 1933 Act) with the offer and sale of the Securities hereunder.</w:t>
      </w:r>
    </w:p>
    <w:p>
      <w:pPr>
        <w:spacing w:after="0" w:line="176" w:lineRule="exact"/>
        <w:rPr>
          <w:sz w:val="20"/>
          <w:szCs w:val="20"/>
          <w:color w:val="auto"/>
        </w:rPr>
      </w:pPr>
    </w:p>
    <w:p>
      <w:pPr>
        <w:jc w:val="both"/>
        <w:ind w:left="4" w:firstLine="648"/>
        <w:spacing w:after="0" w:line="266" w:lineRule="auto"/>
        <w:rPr>
          <w:sz w:val="20"/>
          <w:szCs w:val="20"/>
          <w:color w:val="auto"/>
        </w:rPr>
      </w:pPr>
      <w:r>
        <w:rPr>
          <w:rFonts w:ascii="Times New Roman" w:cs="Times New Roman" w:eastAsia="Times New Roman" w:hAnsi="Times New Roman"/>
          <w:sz w:val="18"/>
          <w:szCs w:val="18"/>
          <w:color w:val="auto"/>
        </w:rPr>
        <w:t xml:space="preserve">(liv)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Neither the Company nor any of its Subsidiaries has (i) failed to pay any dividend or sinking fund installment on preference shares or (ii) defaulted on any installment or payment due on indebtedness for borrowed money or on any rental on one or more long-term leases, which defaults, individually or in the aggregate, could reasonably be expected to result in a Material Adverse Effect.</w:t>
      </w:r>
    </w:p>
    <w:p>
      <w:pPr>
        <w:spacing w:after="0" w:line="176" w:lineRule="exact"/>
        <w:rPr>
          <w:sz w:val="20"/>
          <w:szCs w:val="20"/>
          <w:color w:val="auto"/>
        </w:rPr>
      </w:pPr>
    </w:p>
    <w:p>
      <w:pPr>
        <w:jc w:val="both"/>
        <w:ind w:left="4" w:firstLine="648"/>
        <w:spacing w:after="0" w:line="261" w:lineRule="auto"/>
        <w:rPr>
          <w:sz w:val="20"/>
          <w:szCs w:val="20"/>
          <w:color w:val="auto"/>
        </w:rPr>
      </w:pPr>
      <w:r>
        <w:rPr>
          <w:rFonts w:ascii="Times New Roman" w:cs="Times New Roman" w:eastAsia="Times New Roman" w:hAnsi="Times New Roman"/>
          <w:sz w:val="18"/>
          <w:szCs w:val="18"/>
          <w:color w:val="auto"/>
        </w:rPr>
        <w:t xml:space="preserve">(lv) </w:t>
      </w:r>
      <w:r>
        <w:rPr>
          <w:rFonts w:ascii="Times New Roman" w:cs="Times New Roman" w:eastAsia="Times New Roman" w:hAnsi="Times New Roman"/>
          <w:sz w:val="18"/>
          <w:szCs w:val="18"/>
          <w:u w:val="single" w:color="auto"/>
          <w:color w:val="auto"/>
        </w:rPr>
        <w:t>Forward Looking Statements</w:t>
      </w:r>
      <w:r>
        <w:rPr>
          <w:rFonts w:ascii="Times New Roman" w:cs="Times New Roman" w:eastAsia="Times New Roman" w:hAnsi="Times New Roman"/>
          <w:sz w:val="18"/>
          <w:szCs w:val="18"/>
          <w:color w:val="auto"/>
        </w:rPr>
        <w:t>. Each financial or operational projection or other “forward-looking statement” (as defined by Section 27A of the 1933 Act or Section 21E of the 1934 Act) contained in the Registration Statement, the General Disclosure Package or the Prospectus</w:t>
      </w:r>
    </w:p>
    <w:p>
      <w:pPr>
        <w:jc w:val="both"/>
        <w:ind w:left="4" w:hanging="4"/>
        <w:spacing w:after="0" w:line="253" w:lineRule="auto"/>
        <w:tabs>
          <w:tab w:leader="none" w:pos="26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so included by the Company in good faith and with reasonable basis after due consideration by the Company of the underlying assumptions, estimates and other applicable facts and circumstances and (ii) as required, is accompanied by meaningful cautionary statements identifying those factors that could cause actual results to differ materially from those in such forward-looking statement. No such statement was made with the knowledge of a director or senior manager of the Company that was false or misleading.</w:t>
      </w:r>
    </w:p>
    <w:p>
      <w:pPr>
        <w:spacing w:after="0" w:line="200" w:lineRule="exact"/>
        <w:rPr>
          <w:sz w:val="20"/>
          <w:szCs w:val="20"/>
          <w:color w:val="auto"/>
        </w:rPr>
      </w:pPr>
    </w:p>
    <w:p>
      <w:pPr>
        <w:spacing w:after="0" w:line="205"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2" w:name="page23"/>
    <w:bookmarkEnd w:id="22"/>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(lvi) </w:t>
      </w:r>
      <w:r>
        <w:rPr>
          <w:rFonts w:ascii="Times New Roman" w:cs="Times New Roman" w:eastAsia="Times New Roman" w:hAnsi="Times New Roman"/>
          <w:sz w:val="18"/>
          <w:szCs w:val="18"/>
          <w:u w:val="single" w:color="auto"/>
          <w:color w:val="auto"/>
        </w:rPr>
        <w:t>Related Party Transactions</w:t>
      </w:r>
      <w:r>
        <w:rPr>
          <w:rFonts w:ascii="Times New Roman" w:cs="Times New Roman" w:eastAsia="Times New Roman" w:hAnsi="Times New Roman"/>
          <w:sz w:val="18"/>
          <w:szCs w:val="18"/>
          <w:color w:val="auto"/>
        </w:rPr>
        <w:t>. There are no relationships, direct or indirect, or related party transactions involving the Company or any of its Subsidiaries or any other person (including any director, officer, shareholder, customer or supplier of the Company or any of its Subsidiaries) required to be described in the Registration Statement, the General Disclosure Package or the Prospectus that have not been described as required. There are no material outstanding loans, advances (except normal advances for business expenses in the ordinary course of business) or guarantees of indebtedness by the Company or any of its Subsidiaries to or for the benefit of any of the officers or directors of the Company or any of its Subsidiaries, or any of the family members of any of such persons.</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(lvii) </w:t>
      </w:r>
      <w:r>
        <w:rPr>
          <w:rFonts w:ascii="Times New Roman" w:cs="Times New Roman" w:eastAsia="Times New Roman" w:hAnsi="Times New Roman"/>
          <w:sz w:val="18"/>
          <w:szCs w:val="18"/>
          <w:u w:val="single" w:color="auto"/>
          <w:color w:val="auto"/>
        </w:rPr>
        <w:t>Bankruptcy and Insolvency</w:t>
      </w:r>
      <w:r>
        <w:rPr>
          <w:rFonts w:ascii="Times New Roman" w:cs="Times New Roman" w:eastAsia="Times New Roman" w:hAnsi="Times New Roman"/>
          <w:sz w:val="18"/>
          <w:szCs w:val="18"/>
          <w:color w:val="auto"/>
        </w:rPr>
        <w:t>. The Company is not in or subject to a bankruptcy or insolvency proceeding in any jurisdiction.</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(lviii) </w:t>
      </w:r>
      <w:r>
        <w:rPr>
          <w:rFonts w:ascii="Times New Roman" w:cs="Times New Roman" w:eastAsia="Times New Roman" w:hAnsi="Times New Roman"/>
          <w:sz w:val="18"/>
          <w:szCs w:val="18"/>
          <w:u w:val="single" w:color="auto"/>
          <w:color w:val="auto"/>
        </w:rPr>
        <w:t>Occupational Laws</w:t>
      </w:r>
      <w:r>
        <w:rPr>
          <w:rFonts w:ascii="Times New Roman" w:cs="Times New Roman" w:eastAsia="Times New Roman" w:hAnsi="Times New Roman"/>
          <w:sz w:val="18"/>
          <w:szCs w:val="18"/>
          <w:color w:val="auto"/>
        </w:rPr>
        <w:t>. The Company and its Subsidiaries (i) are in compliance, in all material respects, with any and all applicable foreign, federal, state and local laws, rules, regulations, treaties, statutes and codes promulgated by any and all governmental authorities (including pursuant to the Occupational Health and Safety Act) relating to the protection of human health and safety in the workplace (“</w:t>
      </w:r>
      <w:r>
        <w:rPr>
          <w:rFonts w:ascii="Times New Roman" w:cs="Times New Roman" w:eastAsia="Times New Roman" w:hAnsi="Times New Roman"/>
          <w:sz w:val="18"/>
          <w:szCs w:val="18"/>
          <w:u w:val="single" w:color="auto"/>
          <w:color w:val="auto"/>
        </w:rPr>
        <w:t>Occupational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Laws</w:t>
      </w:r>
      <w:r>
        <w:rPr>
          <w:rFonts w:ascii="Times New Roman" w:cs="Times New Roman" w:eastAsia="Times New Roman" w:hAnsi="Times New Roman"/>
          <w:sz w:val="18"/>
          <w:szCs w:val="18"/>
          <w:color w:val="auto"/>
        </w:rPr>
        <w:t>”); (ii) have received all material permits, licenses or other approvals required of it under applicable Occupational Laws to conduct their respective businesses as currently conducted; and (iii) are in compliance, in all material respects, with all terms and conditions of such permit, license or approval. No action, proceeding, revocation proceeding, writ, injunction or claim is pending or, to the Company’s knowledge, threatened against the Company or any of its Subsidiaries relating to Occupational Laws, and the Company does not have knowledge of any facts, circumstances or developments relating to its operations or cost accounting practices that could reasonably be expected to form the basis for or give rise to such actions, suits, investigations or proceedings.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(lix) </w:t>
      </w:r>
      <w:r>
        <w:rPr>
          <w:rFonts w:ascii="Times New Roman" w:cs="Times New Roman" w:eastAsia="Times New Roman" w:hAnsi="Times New Roman"/>
          <w:sz w:val="18"/>
          <w:szCs w:val="18"/>
          <w:u w:val="single" w:color="auto"/>
          <w:color w:val="auto"/>
        </w:rPr>
        <w:t>Non-Competition and Non-Competition Arrangements</w:t>
      </w:r>
      <w:r>
        <w:rPr>
          <w:rFonts w:ascii="Times New Roman" w:cs="Times New Roman" w:eastAsia="Times New Roman" w:hAnsi="Times New Roman"/>
          <w:sz w:val="18"/>
          <w:szCs w:val="18"/>
          <w:color w:val="auto"/>
        </w:rPr>
        <w:t>. No director or officer of the Company or any of its Subsidiaries is subject to any non-competition agreement or non-solicitation agreement with any employer or prior employer which could materially affect each director’s or officer’s ability to be and act in the capacity of a director or officer of the Company or a Subsidiary.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(lx) </w:t>
      </w:r>
      <w:r>
        <w:rPr>
          <w:rFonts w:ascii="Times New Roman" w:cs="Times New Roman" w:eastAsia="Times New Roman" w:hAnsi="Times New Roman"/>
          <w:sz w:val="18"/>
          <w:szCs w:val="18"/>
          <w:u w:val="single" w:color="auto"/>
          <w:color w:val="auto"/>
        </w:rPr>
        <w:t>Choice of Law</w:t>
      </w:r>
      <w:r>
        <w:rPr>
          <w:rFonts w:ascii="Times New Roman" w:cs="Times New Roman" w:eastAsia="Times New Roman" w:hAnsi="Times New Roman"/>
          <w:sz w:val="18"/>
          <w:szCs w:val="18"/>
          <w:color w:val="auto"/>
        </w:rPr>
        <w:t>. The choice of laws of the State of New York as the governing law of this Agreement is a valid choice of law under the laws of the Cayman Islands that will be honored by courts in the Cayman Islands. The Company has the power to submit to the non-exclusive personal jurisdiction of the State of New York, and the Company has the power to designate, appoint and authorize an authorized agent for service of process in any action arising out of or relating to this Agreement or the Securities in such courts in the State of New York, and service of process effected on such authorized agent will be effective to confer valid personal jurisdiction over the Company.</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(lxi) </w:t>
      </w:r>
      <w:r>
        <w:rPr>
          <w:rFonts w:ascii="Times New Roman" w:cs="Times New Roman" w:eastAsia="Times New Roman" w:hAnsi="Times New Roman"/>
          <w:sz w:val="18"/>
          <w:szCs w:val="18"/>
          <w:u w:val="single" w:color="auto"/>
          <w:color w:val="auto"/>
        </w:rPr>
        <w:t>Enforcement</w:t>
      </w:r>
      <w:r>
        <w:rPr>
          <w:rFonts w:ascii="Times New Roman" w:cs="Times New Roman" w:eastAsia="Times New Roman" w:hAnsi="Times New Roman"/>
          <w:sz w:val="18"/>
          <w:szCs w:val="18"/>
          <w:color w:val="auto"/>
        </w:rPr>
        <w:t>. Any final judgment for a fixed sum of money rendered by a court having jurisdiction under its own domestic laws in respect of any suit, action or proceeding against the Company based upon this Agreement and the Securities would be recognized and enforced against the Company by Cayman Islands courts without re-examining the merits of the case under the common law doctrine of obligation; provided that (i) adequate service of process has been effected and the defendant has had a reasonable opportunity to be heard, (ii) such judgments or the enforcement thereof are not contrary to the law, public policy, security or sovereignty of the Cayman Islands, (iii) such judgments were not obtained by fraudulent means and do not conflict with any other valid judgment in the same matter between the same parties, and (iv) an action between the same parties in the same matter is not pending in any Cayman Islands court at the time the lawsuit is instituted in the foreign court; it is not necessary that this Agreement, the Prospectus or any other document be filed or recorded with any court or other authority in the Cayman Islands.</w:t>
      </w:r>
    </w:p>
    <w:p>
      <w:pPr>
        <w:spacing w:after="0" w:line="200" w:lineRule="exact"/>
        <w:rPr>
          <w:sz w:val="20"/>
          <w:szCs w:val="20"/>
          <w:color w:val="auto"/>
        </w:rPr>
      </w:pPr>
    </w:p>
    <w:p>
      <w:pPr>
        <w:spacing w:after="0" w:line="20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3" w:name="page24"/>
    <w:bookmarkEnd w:id="23"/>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 xml:space="preserve">(lxii) </w:t>
      </w: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Except as disclosed in the Registration Statement, the General Disclosure Package and the Prospectus, no transaction stamp or other issuance, transfer or withholding taxes or duties are payable by or on behalf of the Underwriters to the government of the Cayman Islands or any political subdivision or taxing authority thereof or therein in connection with (i) the issuance of the Securities, (ii) the sale and issuance by the Company of the Securities to or for the account of the Underwriters, (iii) the initial resale sale and issuance by the Underwriters of the Securities to purchasers thereof or (iv) the execution, delivery and performance of this Agreement or any other document contemplated hereby; provided, that, this Agreement is not executed in, or after execution, brought within the jurisdiction of the Cayman Islands. The Company confirms it has not executed this Agreement in, nor will it, after execution, bring this Agreement within, the jurisdiction of the Cayman Islands.</w:t>
      </w:r>
    </w:p>
    <w:p>
      <w:pPr>
        <w:spacing w:after="0" w:line="190" w:lineRule="exact"/>
        <w:rPr>
          <w:sz w:val="20"/>
          <w:szCs w:val="20"/>
          <w:color w:val="auto"/>
        </w:rPr>
      </w:pPr>
    </w:p>
    <w:p>
      <w:pPr>
        <w:ind w:firstLine="656"/>
        <w:spacing w:after="0" w:line="284" w:lineRule="auto"/>
        <w:tabs>
          <w:tab w:leader="none" w:pos="91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Officer’s Certificates</w:t>
      </w:r>
      <w:r>
        <w:rPr>
          <w:rFonts w:ascii="Times New Roman" w:cs="Times New Roman" w:eastAsia="Times New Roman" w:hAnsi="Times New Roman"/>
          <w:sz w:val="18"/>
          <w:szCs w:val="18"/>
          <w:color w:val="auto"/>
        </w:rPr>
        <w:t>. Any certificate signed by any officer of the Company or any of its Subsidiaries delivered to the Representative or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counsel for the Underwriters shall be deemed a representation and warranty by the Company to each Underwriter as to the matters covered thereby.</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Sale and Delivery to Underwriters; Closing</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firstLine="656"/>
        <w:spacing w:after="0" w:line="256" w:lineRule="auto"/>
        <w:tabs>
          <w:tab w:leader="none" w:pos="89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Initial Securities</w:t>
      </w:r>
      <w:r>
        <w:rPr>
          <w:rFonts w:ascii="Times New Roman" w:cs="Times New Roman" w:eastAsia="Times New Roman" w:hAnsi="Times New Roman"/>
          <w:sz w:val="18"/>
          <w:szCs w:val="18"/>
          <w:color w:val="auto"/>
        </w:rPr>
        <w:t>. On the basis of the representations and warranties herein contained and subject to the terms and conditions herein set forth,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Company agrees to sell to each Underwriter, severally and not jointly, and each Underwriter, severally and not jointly, agrees to purchase from the Company, (i) at the price per Share set forth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that number of Shares set forth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opposite the name of such Underwriter or (ii) at the price per Pre-Funded Warrant set forth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that number of Pre-Funded Warrants set forth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opposite the name of such Underwriter, plus any additional number of Shares and/or Pre-Funded Warrants which such Underwriter may become obligated to purchase pursuant to the provisions of Section 10 hereof, subject, in each case, to such adjustments among the Underwriters as the Representative in its sole discretion shall make to eliminate any sales or purchases of fractional shares.</w:t>
      </w:r>
    </w:p>
    <w:p>
      <w:pPr>
        <w:spacing w:after="0" w:line="182" w:lineRule="exact"/>
        <w:rPr>
          <w:rFonts w:ascii="Times New Roman" w:cs="Times New Roman" w:eastAsia="Times New Roman" w:hAnsi="Times New Roman"/>
          <w:sz w:val="18"/>
          <w:szCs w:val="18"/>
          <w:color w:val="auto"/>
        </w:rPr>
      </w:pPr>
    </w:p>
    <w:p>
      <w:pPr>
        <w:jc w:val="both"/>
        <w:ind w:firstLine="656"/>
        <w:spacing w:after="0" w:line="253" w:lineRule="auto"/>
        <w:tabs>
          <w:tab w:leader="none" w:pos="91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Option Securities</w:t>
      </w:r>
      <w:r>
        <w:rPr>
          <w:rFonts w:ascii="Times New Roman" w:cs="Times New Roman" w:eastAsia="Times New Roman" w:hAnsi="Times New Roman"/>
          <w:sz w:val="18"/>
          <w:szCs w:val="18"/>
          <w:color w:val="auto"/>
        </w:rPr>
        <w:t>. In addition, on the basis of the representations and warranties herein contained and subject to the terms and conditions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herein set forth, the Company hereby grants an option to the Underwriters, severally and not jointly, to purchase up to an additional 1,500,000 Ordinary Shares, at the price per share set forth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less an amount per share equal to any dividends or distributions declared by the Company and payable on the Shares but not payable on the Option Securities. The option hereby granted may be exercised for 30 days after the date hereof and may be exercised in whole or in part at any time from time to time upon notice by the Representative to the Company setting forth the number of Option Securities as to which the several Underwriters are then exercising the option and the time and date of payment and delivery for such Option Securities. Any such time and date of delivery (a “</w:t>
      </w:r>
      <w:r>
        <w:rPr>
          <w:rFonts w:ascii="Times New Roman" w:cs="Times New Roman" w:eastAsia="Times New Roman" w:hAnsi="Times New Roman"/>
          <w:sz w:val="18"/>
          <w:szCs w:val="18"/>
          <w:u w:val="single" w:color="auto"/>
          <w:color w:val="auto"/>
        </w:rPr>
        <w:t>Date of Delivery</w:t>
      </w:r>
      <w:r>
        <w:rPr>
          <w:rFonts w:ascii="Times New Roman" w:cs="Times New Roman" w:eastAsia="Times New Roman" w:hAnsi="Times New Roman"/>
          <w:sz w:val="18"/>
          <w:szCs w:val="18"/>
          <w:color w:val="auto"/>
        </w:rPr>
        <w:t xml:space="preserve">”) shall be determined by the Representative, but any Date of Delivery after the Closing Time shall not be later than seven full business days nor earlier than two full business days after the exercise of said option, nor in any event prior to the Closing Time. If the option is exercised as to all or any portion of the Option Securities, each of the Underwriters, acting severally and not jointly, will purchase that proportion of the total number of Option Securities then being purchased which the number of Initial Securities set forth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opposite the name of such Underwriter bears to the total number of Initial Securities, subject, in each case, to such adjustments as the Representative in its sole discretion shall make to eliminate any sales or purchases of fractional shares.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both"/>
        <w:ind w:firstLine="656"/>
        <w:spacing w:after="0" w:line="252" w:lineRule="auto"/>
        <w:tabs>
          <w:tab w:leader="none" w:pos="89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Payment</w:t>
      </w:r>
      <w:r>
        <w:rPr>
          <w:rFonts w:ascii="Times New Roman" w:cs="Times New Roman" w:eastAsia="Times New Roman" w:hAnsi="Times New Roman"/>
          <w:sz w:val="18"/>
          <w:szCs w:val="18"/>
          <w:color w:val="auto"/>
        </w:rPr>
        <w:t>. Payment of the purchase price for, and delivery of certificates or security entitlements for, the Initial Securities shall be made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offices of Mintz, Levin, Cohn, Ferris, Glovsky and Popeo, P.C., or at such other place as shall be agreed upon by the Representative and the Company, at 10:00 A.M. (New York City time) on June 25, 2026 (unless postponed in accordance with the provisions of Section 10), or such other time not later than ten business days after such date as shall be agreed upon by the Representative and the Company (such time and date of payment and delivery being herein called “</w:t>
      </w:r>
      <w:r>
        <w:rPr>
          <w:rFonts w:ascii="Times New Roman" w:cs="Times New Roman" w:eastAsia="Times New Roman" w:hAnsi="Times New Roman"/>
          <w:sz w:val="18"/>
          <w:szCs w:val="18"/>
          <w:u w:val="single" w:color="auto"/>
          <w:color w:val="auto"/>
        </w:rPr>
        <w:t>Closing Time</w:t>
      </w:r>
      <w:r>
        <w:rPr>
          <w:rFonts w:ascii="Times New Roman" w:cs="Times New Roman" w:eastAsia="Times New Roman" w:hAnsi="Times New Roman"/>
          <w:sz w:val="18"/>
          <w:szCs w:val="18"/>
          <w:color w:val="auto"/>
        </w:rPr>
        <w:t xml:space="preserve">”). Delivery of the Shares at the Closing Time shall be made through the facilities of The Depository Trust Company unless the Representative shall otherwise instruct. The Pre-Funded Warrants shall be delivered to the purchasers of the Pre-Funded Warrants in definitive form, registered in such names and in such denominations as the purchasers of the Pre-Funded Warrants shall request in writing not later than the Closing Time. The Company and the Representative shall instruct purchasers of the Pre-Funded Warrants in the public offering to make payment for the Pre-Funded Warrants on the Closing Time to the Company by wire transfer in immediately available funds to the account specified by the Company at a purchase price of $19.9999 per Pre-Funded Warrant, in lieu of payment by the Underwriters for such Pre-Funded Warrants, and the Company shall deliver such Pre-Funded Warrants to such purchasers on the Closing Time in definitive form against such payment, in lieu of the Company’s obligation to deliver such Pre-Funded Warrants to the Underwriters; provided that the Company shall promptly (but in no event later than the Closing Time) pay $1.10 per such Pre-Funded Warrant to the Underwriters by wire transfer in immediately available funds to the account specified by the Representative. In the event that the purchasers of the Pre-Funded Warrants in the public offering fail to make payment to the Company for all or part of the Pre-Funded Warrants on the Closing Time, the Representative may elect, by written notice to the Company, to receive Ordinary Shares at the price per share set forth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in lieu of all or a portion of such Pre-Funded Warrants to be delivered to the Underwriters under this Agreement.</w:t>
      </w:r>
    </w:p>
    <w:p>
      <w:pPr>
        <w:spacing w:after="0" w:line="19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shall deliver, or cause to be delivered, the Pre-Funded Warrants to the purchasers thereof, in accordance with the Representative’s instructions, at the Closing Time.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in the event that any or all of the Option Securities are purchased by the Underwriters, payment of the purchase price for, and delivery of certificates or security entitlements for, such Option Securities shall be made at the above-mentioned offices, or at such other place as shall be agreed upon by the Representative and the Company, on each Date of Delivery as specified in the notice from the Representative to the Company. Delivery of the Option Securities on each such Date of Delivery shall be made through the facilities of The Depository Trust Company unless the Representative shall otherwise instruct.</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Payment shall be made to the Company by wire transfer of immediately available funds to a bank account designated by the Company, against delivery to the Representative for the respective accounts of the Underwriters of certificates or security entitlements for the Securities to be purchased by them. It is understood that each Underwriter has authorized the Representative, for its account, to accept delivery of, receipt for, and make payment of the purchase price for, the Securities and the Option Securities, if any, which it has agreed to purchase. Leerink Partners, individually and not as representative of the Underwriters, may (but shall not be obligated to) make payment of the purchase price for the Initial Securities or the Option Securities, if any, to be purchased by any Underwriter whose funds have not been received by the Closing Time or the relevant Date of Delivery, as the case may be, but such payment shall not relieve such Underwriter from its obligations hereunder.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5" w:name="page26"/>
    <w:bookmarkEnd w:id="25"/>
    <w:p>
      <w:pPr>
        <w:ind w:left="660"/>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Covenants of the Company</w:t>
      </w:r>
      <w:r>
        <w:rPr>
          <w:rFonts w:ascii="Times New Roman" w:cs="Times New Roman" w:eastAsia="Times New Roman" w:hAnsi="Times New Roman"/>
          <w:sz w:val="18"/>
          <w:szCs w:val="18"/>
          <w:color w:val="auto"/>
        </w:rPr>
        <w:t>. The Company covenants with each Underwriter as follows:</w:t>
      </w:r>
    </w:p>
    <w:p>
      <w:pPr>
        <w:spacing w:after="0" w:line="223" w:lineRule="exact"/>
        <w:rPr>
          <w:sz w:val="20"/>
          <w:szCs w:val="20"/>
          <w:color w:val="auto"/>
        </w:rPr>
      </w:pPr>
    </w:p>
    <w:p>
      <w:pPr>
        <w:jc w:val="both"/>
        <w:ind w:firstLine="656"/>
        <w:spacing w:after="0" w:line="253" w:lineRule="auto"/>
        <w:tabs>
          <w:tab w:leader="none" w:pos="89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 with Securities Regulations and Commission Requests</w:t>
      </w:r>
      <w:r>
        <w:rPr>
          <w:rFonts w:ascii="Times New Roman" w:cs="Times New Roman" w:eastAsia="Times New Roman" w:hAnsi="Times New Roman"/>
          <w:sz w:val="18"/>
          <w:szCs w:val="18"/>
          <w:color w:val="auto"/>
        </w:rPr>
        <w:t>. The Company, subject to Section 3(b), will comply with the requirements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Rule 430B, and will notify the Representative as soon as practicable, and confirm the notice in writing, (i) when any post-effective amendment to the Registration Statement shall become effective or any amendment or supplement to the Prospectus shall have been filed, (ii) of the receipt of any comments from the Commission, (iii) of any request by the Commission for any amendment to the Registration Statement or any amendment or supplement to the Prospectus (including any document incorporated by reference therein) or for additional information, (iv) of the issuance by the Commission of any stop order suspending the effectiveness of the Registration Statement or any post-effective amendment or of any order preventing or suspending the use of any preliminary prospectus or the Prospectus, or of the suspension of the qualification of the Securities for offering or sale in any jurisdiction, or of the initiation or threatening of any proceedings for any of such purposes or of any examination pursuant to Section 8(d) or 8(e) of the 1933 Act concerning the Registration Statement and (v) if the Company becomes the subject of a proceeding under Section 8A of the 1933 Act in connection with the offering of the Securities. The Company will effect all filings required under Rule 424(b), in the manner and within the time period required by Rule 424(b) (without reliance on Rule 424(b)(8)), and will take such steps as it deems necessary to ascertain promptly whether the form of prospectus transmitted for filing under Rule 424(b) was received for filing by the Commission and, in the event that it was not, it will promptly file such prospectus. The Company will make every reasonable effort to prevent the issuance of any stop order, prevention or suspension and, if any such order is issued, to obtain the lifting thereof as soon as reasonably practicable.</w:t>
      </w:r>
    </w:p>
    <w:p>
      <w:pPr>
        <w:spacing w:after="0" w:line="185" w:lineRule="exact"/>
        <w:rPr>
          <w:rFonts w:ascii="Times New Roman" w:cs="Times New Roman" w:eastAsia="Times New Roman" w:hAnsi="Times New Roman"/>
          <w:sz w:val="18"/>
          <w:szCs w:val="18"/>
          <w:color w:val="auto"/>
        </w:rPr>
      </w:pPr>
    </w:p>
    <w:p>
      <w:pPr>
        <w:jc w:val="both"/>
        <w:ind w:firstLine="656"/>
        <w:spacing w:after="0" w:line="252" w:lineRule="auto"/>
        <w:tabs>
          <w:tab w:leader="none" w:pos="90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Continued Compliance with Securities Laws</w:t>
      </w:r>
      <w:r>
        <w:rPr>
          <w:rFonts w:ascii="Times New Roman" w:cs="Times New Roman" w:eastAsia="Times New Roman" w:hAnsi="Times New Roman"/>
          <w:sz w:val="18"/>
          <w:szCs w:val="18"/>
          <w:color w:val="auto"/>
        </w:rPr>
        <w:t>. The Company will comply with the 1933 Act, the 1933 Act Regulations, the 1934 Act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1934 Act Regulations so as to permit the completion of the distribution of the Securities as contemplated in this Agreement and in the Registration Statement, the General Disclosure Package and the Prospectus. If at any time when a prospectus relating to the Securities is (or, but for the exception afforded by Rule 172 of the 1933 Act Regulations (“</w:t>
      </w:r>
      <w:r>
        <w:rPr>
          <w:rFonts w:ascii="Times New Roman" w:cs="Times New Roman" w:eastAsia="Times New Roman" w:hAnsi="Times New Roman"/>
          <w:sz w:val="18"/>
          <w:szCs w:val="18"/>
          <w:u w:val="single" w:color="auto"/>
          <w:color w:val="auto"/>
        </w:rPr>
        <w:t>Rule 172</w:t>
      </w:r>
      <w:r>
        <w:rPr>
          <w:rFonts w:ascii="Times New Roman" w:cs="Times New Roman" w:eastAsia="Times New Roman" w:hAnsi="Times New Roman"/>
          <w:sz w:val="18"/>
          <w:szCs w:val="18"/>
          <w:color w:val="auto"/>
        </w:rPr>
        <w:t>”), would be) required by the 1933 Act to be delivered in connection with sales of the Securities, any event shall occur or condition shall exist as a result of which it is necessary, in the opinion of counsel for the Underwriters or for the Company, to (i) amend the Registration Statement in order that the Registration Statement will not include an untrue statement of a material fact or omit to state a material fact required to be stated therein or necessary to make the statements therein not misleading, (ii) amend or supplement the General Disclosure Package or the Prospectus in order that the General Disclosure Package or the Prospectus, as the case may be, will not include any untrue statement of a material fact or omit to state a material fact necessary in order to make the statements therein not misleading in the light of the circumstances existing at the time it is delivered to a purchaser or (iii) amend the Registration Statement or amend or supplement the General Disclosure Package or the Prospectus, as the case may be, in order to comply with the requirements of the 1933 Act or the 1933 Act Regulations, the Company will promptly (A) give the Representative notice of such event, (B) prepare any amendment or supplement as may be necessary to correct such statement or omission or to make the Registration Statement, the General Disclosure Package or the Prospectus comply with such requirements and, a reasonable amount of time prior to any proposed filing or use, furnish the Representative with copies of any such amendment or supplement and (C) file with the Commission any such amendment or supplement; provided that the Company shall not file or use any such amendment or supplement to which the Representative or counsel for the Underwriters shall reasonably object. The Company will furnish to the Underwriters such number of copies of such amendment or supplement as the Underwriters may reasonably request. The Company has given the Representative notice of any filings made pursuant to the 1934 Act or the 1934 Act Regulations as soon as practicable prior to the Applicable Time; the Company will give the Representative notice of its intention to make any such filing from the Applicable Time to the Closing Time and will furnish the Representative with copies of any such documents a reasonable amount of time prior to such proposed filing, as the case may be, and will not file or use any such document to which the Representative or counsel for the Underwriters shall reasonably object.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jc w:val="both"/>
        <w:ind w:firstLine="656"/>
        <w:spacing w:after="0" w:line="258" w:lineRule="auto"/>
        <w:tabs>
          <w:tab w:leader="none" w:pos="91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Delivery of Registration Statements</w:t>
      </w:r>
      <w:r>
        <w:rPr>
          <w:rFonts w:ascii="Times New Roman" w:cs="Times New Roman" w:eastAsia="Times New Roman" w:hAnsi="Times New Roman"/>
          <w:sz w:val="18"/>
          <w:szCs w:val="18"/>
          <w:color w:val="auto"/>
        </w:rPr>
        <w:t>. The Company has furnished or will deliver to the Representative and counsel for the Underwriters,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without charge, conformed copies of the Registration Statement as originally filed and each amendment thereto (including exhibits filed therewith or incorporated by reference therein and documents incorporated or deemed incorporated by reference therein) and conformed copies of all consents and certificates of experts. The copies of the Registration Statement and each amendment thereto furnished to the Underwriters will be identical to the electronically transmitted copies thereof filed with the Commission pursuant to EDGAR, except to the extent permitted by Regulation S-T.</w:t>
      </w:r>
    </w:p>
    <w:p>
      <w:pPr>
        <w:spacing w:after="0" w:line="183" w:lineRule="exact"/>
        <w:rPr>
          <w:rFonts w:ascii="Times New Roman" w:cs="Times New Roman" w:eastAsia="Times New Roman" w:hAnsi="Times New Roman"/>
          <w:sz w:val="18"/>
          <w:szCs w:val="18"/>
          <w:color w:val="auto"/>
        </w:rPr>
      </w:pPr>
    </w:p>
    <w:p>
      <w:pPr>
        <w:jc w:val="both"/>
        <w:ind w:firstLine="656"/>
        <w:spacing w:after="0" w:line="257" w:lineRule="auto"/>
        <w:tabs>
          <w:tab w:leader="none" w:pos="90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Delivery of Prospectuses</w:t>
      </w:r>
      <w:r>
        <w:rPr>
          <w:rFonts w:ascii="Times New Roman" w:cs="Times New Roman" w:eastAsia="Times New Roman" w:hAnsi="Times New Roman"/>
          <w:sz w:val="18"/>
          <w:szCs w:val="18"/>
          <w:color w:val="auto"/>
        </w:rPr>
        <w:t>. The Company has delivered to each Underwriter, without charge, as many copies of each preliminary prospectus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Underwriter reasonably requested, and the Company hereby consents to the use of such copies for purposes permitted by the 1933 Act. The Company will furnish to each Underwriter, without charge, during the period when a prospectus relating to the Securities is (or, but for the exception afforded by Rule 172, would be) required to be delivered under the 1933 Act, such number of copies of the Prospectus (as amended or supplemented) as such Underwriter may reasonably request. The Prospectus and any amendments or supplements thereto furnished to the Underwriters will be identical to the electronically transmitted copies thereof filed with the Commission pursuant to EDGAR, except to the extent permitted by Regulation S-T.</w:t>
      </w:r>
    </w:p>
    <w:p>
      <w:pPr>
        <w:spacing w:after="0" w:line="182" w:lineRule="exact"/>
        <w:rPr>
          <w:rFonts w:ascii="Times New Roman" w:cs="Times New Roman" w:eastAsia="Times New Roman" w:hAnsi="Times New Roman"/>
          <w:sz w:val="18"/>
          <w:szCs w:val="18"/>
          <w:color w:val="auto"/>
        </w:rPr>
      </w:pPr>
    </w:p>
    <w:p>
      <w:pPr>
        <w:jc w:val="both"/>
        <w:ind w:firstLine="656"/>
        <w:spacing w:after="0" w:line="258" w:lineRule="auto"/>
        <w:tabs>
          <w:tab w:leader="none" w:pos="89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Blue Sky Qualifications</w:t>
      </w:r>
      <w:r>
        <w:rPr>
          <w:rFonts w:ascii="Times New Roman" w:cs="Times New Roman" w:eastAsia="Times New Roman" w:hAnsi="Times New Roman"/>
          <w:sz w:val="18"/>
          <w:szCs w:val="18"/>
          <w:color w:val="auto"/>
        </w:rPr>
        <w:t>. The Company will use its reasonable best efforts, in cooperation with the Underwriters, to qualify the Securities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offering and sale under the applicable securities laws of such states and other jurisdictions (domestic or foreign) as the Representative may designate and to maintain such qualifications in effect so long as required to complete the distribution of the Securities; provided, however,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w:t>
      </w:r>
    </w:p>
    <w:p>
      <w:pPr>
        <w:spacing w:after="0" w:line="183" w:lineRule="exact"/>
        <w:rPr>
          <w:rFonts w:ascii="Times New Roman" w:cs="Times New Roman" w:eastAsia="Times New Roman" w:hAnsi="Times New Roman"/>
          <w:sz w:val="18"/>
          <w:szCs w:val="18"/>
          <w:color w:val="auto"/>
        </w:rPr>
      </w:pPr>
    </w:p>
    <w:p>
      <w:pPr>
        <w:jc w:val="both"/>
        <w:ind w:firstLine="656"/>
        <w:spacing w:after="0" w:line="267" w:lineRule="auto"/>
        <w:tabs>
          <w:tab w:leader="none" w:pos="87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Rule 158</w:t>
      </w:r>
      <w:r>
        <w:rPr>
          <w:rFonts w:ascii="Times New Roman" w:cs="Times New Roman" w:eastAsia="Times New Roman" w:hAnsi="Times New Roman"/>
          <w:sz w:val="18"/>
          <w:szCs w:val="18"/>
          <w:color w:val="auto"/>
        </w:rPr>
        <w:t>. The Company will timely file such reports pursuant to the 1934 Act as are necessary in order to make generally available (which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satisfied by filing with the Commission pursuant to EDGAR) to its securityholders as soon as practicable an earnings statement for the purposes of, and to provide to the Underwriters the benefits contemplated by, the last paragraph of Section 11(a) of the 1933 Act.</w:t>
      </w:r>
    </w:p>
    <w:p>
      <w:pPr>
        <w:spacing w:after="0" w:line="173" w:lineRule="exact"/>
        <w:rPr>
          <w:rFonts w:ascii="Times New Roman" w:cs="Times New Roman" w:eastAsia="Times New Roman" w:hAnsi="Times New Roman"/>
          <w:sz w:val="18"/>
          <w:szCs w:val="18"/>
          <w:color w:val="auto"/>
        </w:rPr>
      </w:pPr>
    </w:p>
    <w:p>
      <w:pPr>
        <w:ind w:firstLine="656"/>
        <w:spacing w:after="0" w:line="284" w:lineRule="auto"/>
        <w:tabs>
          <w:tab w:leader="none" w:pos="90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The Company will use the net proceeds received by it from the sale of the Securities in all material respects in the manner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specified in the Registration Statement, the General Disclosure Package and the Prospectus under the heading “Use of Proceeds.”</w:t>
      </w:r>
    </w:p>
    <w:p>
      <w:pPr>
        <w:spacing w:after="0" w:line="158" w:lineRule="exact"/>
        <w:rPr>
          <w:rFonts w:ascii="Times New Roman" w:cs="Times New Roman" w:eastAsia="Times New Roman" w:hAnsi="Times New Roman"/>
          <w:sz w:val="18"/>
          <w:szCs w:val="18"/>
          <w:color w:val="auto"/>
        </w:rPr>
      </w:pPr>
    </w:p>
    <w:p>
      <w:pPr>
        <w:ind w:right="20" w:firstLine="656"/>
        <w:spacing w:after="0" w:line="284" w:lineRule="auto"/>
        <w:tabs>
          <w:tab w:leader="none" w:pos="90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Listing</w:t>
      </w:r>
      <w:r>
        <w:rPr>
          <w:rFonts w:ascii="Times New Roman" w:cs="Times New Roman" w:eastAsia="Times New Roman" w:hAnsi="Times New Roman"/>
          <w:sz w:val="18"/>
          <w:szCs w:val="18"/>
          <w:color w:val="auto"/>
        </w:rPr>
        <w:t>. The Company will use its reasonable best efforts to effect and maintain the listing of the Ordinary Shares (including the Shares,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Warrant Shares and any Option Securities) on Nasdaq.</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7" w:name="page28"/>
    <w:bookmarkEnd w:id="27"/>
    <w:p>
      <w:pPr>
        <w:jc w:val="both"/>
        <w:ind w:firstLine="656"/>
        <w:spacing w:after="0" w:line="252" w:lineRule="auto"/>
        <w:tabs>
          <w:tab w:leader="none" w:pos="863"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Restriction on Sale of Securities</w:t>
      </w:r>
      <w:r>
        <w:rPr>
          <w:rFonts w:ascii="Times New Roman" w:cs="Times New Roman" w:eastAsia="Times New Roman" w:hAnsi="Times New Roman"/>
          <w:sz w:val="18"/>
          <w:szCs w:val="18"/>
          <w:color w:val="auto"/>
        </w:rPr>
        <w:t>. During a period of 45 days from the date of the Prospectus, the Company will not, without the prior written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consent of the Representative, (i) directly or indirectly, offer, pledge, sell, contract to sell, sell any option or contract to purchase, purchase any option or contract to sell, grant any option, right or warrant to purchase or otherwise transfer or dispose of any Ordinary Shares or any securities convertible into or exercisable or exchangeable for Ordinary Shares or file or confidentially submit any registration statement under the 1933 Act with respect to any of the foregoing, (ii) enter into any swap or any other agreement or any transaction that transfers, in whole or in part, directly or indirectly, the economic consequence of ownership of the Ordinary Shares, whether any such swap or transaction described in clause (i) or (ii) above is to be settled by delivery of Ordinary Shares or such other securities, in cash or otherwise or (iii) publicly announce an intention to effect any such swap, agreement or other transaction described in clauses (i) and (ii). The foregoing sentence shall not apply to (A) the Securities to be sold hereunder (including the issuance of Warrant Shares upon exercise of the Pre-Funded Warrants); (B) any Ordinary Shares issued by the Company upon the exercise of an option or warrant or the conversion of a convertible security outstanding on the date hereof and referred to in the Registration Statement, the General Disclosure Package and the Prospectus; (C) any Ordinary Shares issued or options to purchase Ordinary Shares granted pursuant to existing employee benefit plans of the Company referred to in the Registration Statement, the General Disclosure Package and the Prospectus; (D) any Ordinary Shares issued pursuant to any existing non-employee director share plan or dividend reinvestment plan referred to in the Registration Statement, the General Disclosure Package and the Prospectus; (E) the filing by the Company of any registration statement on Form S-8 or a successor form thereto; or (F) the sale or issuance of or entry into an agreement to sell or issue Ordinary Shares or other securities issued in connection with any (1) merger, (2) acquisition of securities, businesses, properties or other assets,</w:t>
      </w:r>
    </w:p>
    <w:p>
      <w:pPr>
        <w:jc w:val="both"/>
        <w:ind w:firstLine="8"/>
        <w:spacing w:after="0" w:line="253" w:lineRule="auto"/>
        <w:tabs>
          <w:tab w:leader="none" w:pos="26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joint venture or (4) strategic alliance or relationship, provided, that the aggregate number of shares issued pursuant to this clause (F) shall not exceed 5.0% of the total number of outstanding Ordinary Shares immediately following the issuance and sale of the Securities; provided further that the recipient of any such Ordinary Shares or securities issued pursuant to this clause (F) during the 45-day restricted period shall enter into an agreement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w:t>
      </w:r>
    </w:p>
    <w:p>
      <w:pPr>
        <w:spacing w:after="0" w:line="186" w:lineRule="exact"/>
        <w:rPr>
          <w:rFonts w:ascii="Times New Roman" w:cs="Times New Roman" w:eastAsia="Times New Roman" w:hAnsi="Times New Roman"/>
          <w:sz w:val="18"/>
          <w:szCs w:val="18"/>
          <w:color w:val="auto"/>
        </w:rPr>
      </w:pPr>
    </w:p>
    <w:p>
      <w:pPr>
        <w:jc w:val="both"/>
        <w:ind w:firstLine="656"/>
        <w:spacing w:after="0" w:line="261" w:lineRule="auto"/>
        <w:tabs>
          <w:tab w:leader="none" w:pos="863"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Reporting Requirements</w:t>
      </w:r>
      <w:r>
        <w:rPr>
          <w:rFonts w:ascii="Times New Roman" w:cs="Times New Roman" w:eastAsia="Times New Roman" w:hAnsi="Times New Roman"/>
          <w:sz w:val="18"/>
          <w:szCs w:val="18"/>
          <w:color w:val="auto"/>
        </w:rPr>
        <w:t>. The Company, during the period when a Prospectus relating to the Securities is (or, but for the exception afforded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Rule 172, would be) required to be delivered under the 1933 Act, will file all documents required to be filed with the Commission pursuant to the 1934 Act within the time periods required by the 1934 Act and 1934 Act Regulations. Additionally, the Company shall report the use of proceeds from the issuance of the Securities as may be required under Rule 463 under the 1933 Act.</w:t>
      </w:r>
    </w:p>
    <w:p>
      <w:pPr>
        <w:spacing w:after="0" w:line="18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3" w:lineRule="exact"/>
        <w:rPr>
          <w:rFonts w:ascii="Times New Roman" w:cs="Times New Roman" w:eastAsia="Times New Roman" w:hAnsi="Times New Roman"/>
          <w:sz w:val="18"/>
          <w:szCs w:val="18"/>
          <w:color w:val="auto"/>
        </w:rPr>
      </w:pPr>
    </w:p>
    <w:p>
      <w:pPr>
        <w:jc w:val="both"/>
        <w:ind w:firstLine="656"/>
        <w:spacing w:after="0" w:line="258" w:lineRule="auto"/>
        <w:tabs>
          <w:tab w:leader="none" w:pos="87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Testing-the-Waters Materials</w:t>
      </w:r>
      <w:r>
        <w:rPr>
          <w:rFonts w:ascii="Times New Roman" w:cs="Times New Roman" w:eastAsia="Times New Roman" w:hAnsi="Times New Roman"/>
          <w:sz w:val="18"/>
          <w:szCs w:val="18"/>
          <w:color w:val="auto"/>
        </w:rPr>
        <w:t>. If at any time following the distribution of any Written Testing-the-Waters Communication there occurred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occurs an event or development as a result of which such Written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 and will promptly amend or supplement, at its own expense, such Written Testing-the-Waters Communication to eliminate or correct such untrue statement or omission.</w:t>
      </w:r>
    </w:p>
    <w:p>
      <w:pPr>
        <w:spacing w:after="0" w:line="183" w:lineRule="exact"/>
        <w:rPr>
          <w:rFonts w:ascii="Times New Roman" w:cs="Times New Roman" w:eastAsia="Times New Roman" w:hAnsi="Times New Roman"/>
          <w:sz w:val="18"/>
          <w:szCs w:val="18"/>
          <w:color w:val="auto"/>
        </w:rPr>
      </w:pPr>
    </w:p>
    <w:p>
      <w:pPr>
        <w:jc w:val="both"/>
        <w:ind w:firstLine="656"/>
        <w:spacing w:after="0" w:line="256" w:lineRule="auto"/>
        <w:tabs>
          <w:tab w:leader="none" w:pos="993"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Registration Statement of Warrant Shares</w:t>
      </w:r>
      <w:r>
        <w:rPr>
          <w:rFonts w:ascii="Times New Roman" w:cs="Times New Roman" w:eastAsia="Times New Roman" w:hAnsi="Times New Roman"/>
          <w:sz w:val="18"/>
          <w:szCs w:val="18"/>
          <w:color w:val="auto"/>
        </w:rPr>
        <w:t>. The Company shall, at all times while any Pre-Funded Warrants are outstanding, use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commercially reasonable best efforts to maintain a registration statement covering the issue and sale of the Warrant Shares upon exercise of the Pre-Funded Warrants such that the Warrant Shares, when issued, will not be subject to resale restrictions under the Securities Act except to the extent that the Warrant Shares are owned by affiliates. The Company shall, at all times while any Pre-Funded Warrants are outstanding, reserve and keep available out of the aggregate of its authorized but unissued and otherwise unreserved Ordinary Shares, solely for the purpose of enabling it to issue Warrant Shares upon exercise of such Pre-Funded Warrants, the number of Warrant Shares that are initially issuable and deliverable upon the exercise of the then-outstanding Pre-Funded Warrants.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8" w:name="page29"/>
    <w:bookmarkEnd w:id="28"/>
    <w:p>
      <w:pPr>
        <w:ind w:left="660"/>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Payment of Expenses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firstLine="656"/>
        <w:spacing w:after="0" w:line="253" w:lineRule="auto"/>
        <w:tabs>
          <w:tab w:leader="none" w:pos="919"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The Company will pay or cause to be paid all expenses incident to the performance of its obligations under this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(i) the preparation, printing and filing of the Registration Statement (including financial statements and exhibits) as originally filed and each amendment thereto, (ii) the preparation, printing and delivery to the Underwriters of copies of each preliminary prospectus, each Issuer Free Writing Prospectus and the Prospectus and any amendments or supplements thereto and any costs associated with electronic delivery of any of the foregoing by the Underwriters to investors, (iii) the preparation, issuance and delivery of the certificates or security entitlements for the Shares and Option Securities to the Underwriters and the Pre-Funded Warrants to the purchasers, including any share or other transfer taxes and any stamp or other duties payable upon the sale, issuance or delivery of the Securities to the Underwriters, (iv) the fees and disbursements of the Company’s counsel, accountants and other advisors,</w:t>
      </w:r>
    </w:p>
    <w:p>
      <w:pPr>
        <w:spacing w:after="0" w:line="4" w:lineRule="exact"/>
        <w:rPr>
          <w:rFonts w:ascii="Times New Roman" w:cs="Times New Roman" w:eastAsia="Times New Roman" w:hAnsi="Times New Roman"/>
          <w:sz w:val="18"/>
          <w:szCs w:val="18"/>
          <w:color w:val="auto"/>
        </w:rPr>
      </w:pPr>
    </w:p>
    <w:p>
      <w:pPr>
        <w:jc w:val="both"/>
        <w:ind w:firstLine="8"/>
        <w:spacing w:after="0" w:line="250" w:lineRule="auto"/>
        <w:tabs>
          <w:tab w:leader="none" w:pos="25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qualification of the Securities under securities laws in accordance with the provisions of Section 3(e) hereof, including filing fees and the reasonable fees and disbursements of counsel for the Underwriters in connection therewith and in connection with the preparation of a “Blue Sky Survey” and any supplement thereto, (vi) the fees and expenses of any transfer agent or registrar for the Securities, (vii) the costs and expenses of the Company relating to investor presentations on any “road show” undertaken in connection with the marketing of the Securities, including without limitation, expenses associated with the production of road show slides and graphics, fees and expenses of any consultants engaged in connection with the road show presentations, travel and lodging expenses of the representatives and officers of the Company and any such consultants, and the cost of aircraft and other transportation chartered in connection with the road show, (viii) the filing fees incident to, and the reasonable fees and disbursements of counsel to the Underwriters in connection with, the review by FINRA of the terms of the sale of the Securities, with such legal fees, taken together with the legal fees described in clause</w:t>
      </w:r>
    </w:p>
    <w:p>
      <w:pPr>
        <w:spacing w:after="0" w:line="3" w:lineRule="exact"/>
        <w:rPr>
          <w:rFonts w:ascii="Times New Roman" w:cs="Times New Roman" w:eastAsia="Times New Roman" w:hAnsi="Times New Roman"/>
          <w:sz w:val="18"/>
          <w:szCs w:val="18"/>
          <w:color w:val="auto"/>
        </w:rPr>
      </w:pPr>
    </w:p>
    <w:p>
      <w:pPr>
        <w:jc w:val="both"/>
        <w:ind w:firstLine="8"/>
        <w:spacing w:after="0" w:line="252" w:lineRule="auto"/>
        <w:tabs>
          <w:tab w:leader="none" w:pos="27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not to exceed $20,000, (ix) the fees and expenses incurred in connection with the listing of the Shares, the Warrant Shares and any Option Securities on Nasdaq, and (x) the costs and expenses (including, without limitation, any damages or other amounts payable in connection with legal or contractual liability) associated with the reforming of any contracts for sale of the Securities made by the Underwriters caused by a breach of the representation contained in the third sentence of Section 1(a)(ii). Except as provided in this Section 4, the Underwriters will pay all of their own costs and expenses, including the fees and disbursements of their counsel, stock transfer taxes payable on the resale of any of the Securities by them and any advertising expenses connected with any offers they may make.</w:t>
      </w:r>
    </w:p>
    <w:p>
      <w:pPr>
        <w:spacing w:after="0" w:line="187" w:lineRule="exact"/>
        <w:rPr>
          <w:rFonts w:ascii="Times New Roman" w:cs="Times New Roman" w:eastAsia="Times New Roman" w:hAnsi="Times New Roman"/>
          <w:sz w:val="18"/>
          <w:szCs w:val="18"/>
          <w:color w:val="auto"/>
        </w:rPr>
      </w:pPr>
    </w:p>
    <w:p>
      <w:pPr>
        <w:jc w:val="both"/>
        <w:ind w:firstLine="656"/>
        <w:spacing w:after="0" w:line="267" w:lineRule="auto"/>
        <w:tabs>
          <w:tab w:leader="none" w:pos="903"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of Agreement</w:t>
      </w:r>
      <w:r>
        <w:rPr>
          <w:rFonts w:ascii="Times New Roman" w:cs="Times New Roman" w:eastAsia="Times New Roman" w:hAnsi="Times New Roman"/>
          <w:sz w:val="18"/>
          <w:szCs w:val="18"/>
          <w:color w:val="auto"/>
        </w:rPr>
        <w:t>. If this Agreement is terminated by the Representative in accordance with the provisions of Section 5, Section 9(a)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 Section 9(a)(iii) or Section 10 hereof, the Company shall reimburse the non-defaulting Underwriters for all of their reasonable documented out-of-pocket expenses actually incurred, including the reasonable fees and disbursements of counsel for the Underwriters.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Conditions of Underwriters’ Obligations</w:t>
      </w:r>
      <w:r>
        <w:rPr>
          <w:rFonts w:ascii="Times New Roman" w:cs="Times New Roman" w:eastAsia="Times New Roman" w:hAnsi="Times New Roman"/>
          <w:sz w:val="18"/>
          <w:szCs w:val="18"/>
          <w:color w:val="auto"/>
        </w:rPr>
        <w:t>. The obligations of the several Underwriters hereunder are subject to the accuracy of the representations and warranties of the Company contained herein or in certificates of any officer of the Company or any of its Subsidiaries delivered pursuant to the provisions hereof, to the performance by the Company of its covenants and other obligations hereunder, and to the following further conditions:</w:t>
      </w:r>
    </w:p>
    <w:p>
      <w:pPr>
        <w:spacing w:after="0" w:line="178" w:lineRule="exact"/>
        <w:rPr>
          <w:sz w:val="20"/>
          <w:szCs w:val="20"/>
          <w:color w:val="auto"/>
        </w:rPr>
      </w:pPr>
    </w:p>
    <w:p>
      <w:pPr>
        <w:jc w:val="both"/>
        <w:ind w:firstLine="656"/>
        <w:spacing w:after="0" w:line="258" w:lineRule="auto"/>
        <w:tabs>
          <w:tab w:leader="none" w:pos="89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Effectiveness of Registration Statement</w:t>
      </w:r>
      <w:r>
        <w:rPr>
          <w:rFonts w:ascii="Times New Roman" w:cs="Times New Roman" w:eastAsia="Times New Roman" w:hAnsi="Times New Roman"/>
          <w:sz w:val="18"/>
          <w:szCs w:val="18"/>
          <w:color w:val="auto"/>
        </w:rPr>
        <w:t>. The Registration Statement, including any Rule 462(b) Registration Statement, has become 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at the Closing Time, no stop order suspending the effectiveness of the Registration Statement or any post-effective amendment thereto has been issued under the 1933 Act, no order preventing or suspending the use of any preliminary prospectus or the Prospectus has been issued and no proceedings for any of those purposes have been instituted or are pending or, to the Company’s knowledge, contemplated; and the Company has complied with each request (if any) from the Commission for additional information to the reasonable satisfaction of counsel to the Underwriters.</w:t>
      </w:r>
    </w:p>
    <w:p>
      <w:pPr>
        <w:spacing w:after="0" w:line="183" w:lineRule="exact"/>
        <w:rPr>
          <w:rFonts w:ascii="Times New Roman" w:cs="Times New Roman" w:eastAsia="Times New Roman" w:hAnsi="Times New Roman"/>
          <w:sz w:val="18"/>
          <w:szCs w:val="18"/>
          <w:color w:val="auto"/>
        </w:rPr>
      </w:pPr>
    </w:p>
    <w:p>
      <w:pPr>
        <w:jc w:val="both"/>
        <w:ind w:firstLine="656"/>
        <w:spacing w:after="0" w:line="258" w:lineRule="auto"/>
        <w:tabs>
          <w:tab w:leader="none" w:pos="91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Opinions of Counsel for Company</w:t>
      </w:r>
      <w:r>
        <w:rPr>
          <w:rFonts w:ascii="Times New Roman" w:cs="Times New Roman" w:eastAsia="Times New Roman" w:hAnsi="Times New Roman"/>
          <w:sz w:val="18"/>
          <w:szCs w:val="18"/>
          <w:color w:val="auto"/>
        </w:rPr>
        <w:t>. At the Closing Time, the Representative shall have received (i) the opinion and the negative assurance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letter, each dated the Closing Time, of Gibson, Dunn &amp; Crutcher LLP, counsel for the Company, (ii) the opinion of Walkers (Cayman) LLP, counsel for the Company as to certain matters of Cayman Islands law, and (iii) the opinion of Greenblum &amp; Bernstein, P.L.C., special counsel for the Company with respect to intellectual property matters, each in form and substance satisfactory to counsel for the Underwriters and to such further effect as counsel to the Underwriters may reasonably request.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both"/>
        <w:ind w:firstLine="656"/>
        <w:spacing w:after="0" w:line="256" w:lineRule="auto"/>
        <w:tabs>
          <w:tab w:leader="none" w:pos="89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Opinion of Counsel for Underwriters</w:t>
      </w:r>
      <w:r>
        <w:rPr>
          <w:rFonts w:ascii="Times New Roman" w:cs="Times New Roman" w:eastAsia="Times New Roman" w:hAnsi="Times New Roman"/>
          <w:sz w:val="18"/>
          <w:szCs w:val="18"/>
          <w:color w:val="auto"/>
        </w:rPr>
        <w:t>. At the Closing Time, the Representative shall have received the opinion, and negative assurance letter,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dated the Closing Time, of Mintz, Levin, Cohn, Ferris, Glovsky and Popeo, P.C., counsel for the Underwriters, together with signed or reproduced copies of such letters for each of the other Underwriters in form and substance satisfactory to the Representative. In giving such opinion such counsel may rely, as to all matters governed by the laws of jurisdictions other than the law of the State of New York and the federal securities laws of the United States, upon the opinions of counsel satisfactory to the Representative. Such counsel may also state that, insofar as such opinion involves factual matters, they have relied, to the extent they deem proper, upon certificates of officers and other representatives of the Company and its Subsidiaries and certificates of public officials.</w:t>
      </w:r>
    </w:p>
    <w:p>
      <w:pPr>
        <w:spacing w:after="0" w:line="182" w:lineRule="exact"/>
        <w:rPr>
          <w:rFonts w:ascii="Times New Roman" w:cs="Times New Roman" w:eastAsia="Times New Roman" w:hAnsi="Times New Roman"/>
          <w:sz w:val="18"/>
          <w:szCs w:val="18"/>
          <w:color w:val="auto"/>
        </w:rPr>
      </w:pPr>
    </w:p>
    <w:p>
      <w:pPr>
        <w:jc w:val="both"/>
        <w:ind w:firstLine="656"/>
        <w:spacing w:after="0" w:line="254" w:lineRule="auto"/>
        <w:tabs>
          <w:tab w:leader="none" w:pos="90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Officers’ Certificate </w:t>
      </w:r>
      <w:r>
        <w:rPr>
          <w:rFonts w:ascii="Times New Roman" w:cs="Times New Roman" w:eastAsia="Times New Roman" w:hAnsi="Times New Roman"/>
          <w:sz w:val="18"/>
          <w:szCs w:val="18"/>
          <w:color w:val="auto"/>
        </w:rPr>
        <w:t>. At the Closing Time, there shall not have been, since the date hereof or since the respective dates as of which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given in the Registration Statement, the General Disclosure Package or the Prospectus, any material adverse change in the condition, financial or otherwise, or in the earnings, business affairs or business prospects of the Company and its Subsidiaries considered as one enterprise, whether or not arising in the ordinary course of business, and the Representative shall have received a certificate of the principal executive officer of the Company and of the principal financial officer of the Company, dated the Closing Time, to the effect that (i) there has been no such material adverse change, (ii) the representations and warranties of the Company in this Agreement are true and correct with the same force and effect as though expressly made at and as of the Closing Time, (iii) the Company has complied in all material respects with all agreements and satisfied all conditions on its part to be performed or satisfied at or prior to the Closing Time, and (iv) no stop order suspending the effectiveness of the Registration Statement under the 1933 Act has been issued, no order preventing or suspending the use of any preliminary prospectus or the Prospectus has been issued and no proceedings for any of those purposes have been instituted or are pending or, to their knowledge, contemplated by the Commission.</w:t>
      </w:r>
    </w:p>
    <w:p>
      <w:pPr>
        <w:spacing w:after="0" w:line="185" w:lineRule="exact"/>
        <w:rPr>
          <w:rFonts w:ascii="Times New Roman" w:cs="Times New Roman" w:eastAsia="Times New Roman" w:hAnsi="Times New Roman"/>
          <w:sz w:val="18"/>
          <w:szCs w:val="18"/>
          <w:color w:val="auto"/>
        </w:rPr>
      </w:pPr>
    </w:p>
    <w:p>
      <w:pPr>
        <w:jc w:val="both"/>
        <w:ind w:firstLine="656"/>
        <w:spacing w:after="0" w:line="261" w:lineRule="auto"/>
        <w:tabs>
          <w:tab w:leader="none" w:pos="89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Accountant’s Comfort Letter</w:t>
      </w:r>
      <w:r>
        <w:rPr>
          <w:rFonts w:ascii="Times New Roman" w:cs="Times New Roman" w:eastAsia="Times New Roman" w:hAnsi="Times New Roman"/>
          <w:sz w:val="18"/>
          <w:szCs w:val="18"/>
          <w:color w:val="auto"/>
        </w:rPr>
        <w:t>. At the time of the execution of this Agreement, the Representative shall have received from Baker Tilly US, LLP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letter, dated such date, in form and substance satisfactory to the Representative, together with signed or reproduced copies of such letter for each of the other Underwriters containing statements and information of the type ordinarily included in accountants’ “comfort letters” to underwriters with respect to the financial statements and certain financial information contained in the Registration Statement, the General Disclosure Package and the Prospectus.</w:t>
      </w:r>
    </w:p>
    <w:p>
      <w:pPr>
        <w:spacing w:after="0" w:line="179" w:lineRule="exact"/>
        <w:rPr>
          <w:rFonts w:ascii="Times New Roman" w:cs="Times New Roman" w:eastAsia="Times New Roman" w:hAnsi="Times New Roman"/>
          <w:sz w:val="18"/>
          <w:szCs w:val="18"/>
          <w:color w:val="auto"/>
        </w:rPr>
      </w:pPr>
    </w:p>
    <w:p>
      <w:pPr>
        <w:jc w:val="both"/>
        <w:ind w:firstLine="656"/>
        <w:spacing w:after="0" w:line="267" w:lineRule="auto"/>
        <w:tabs>
          <w:tab w:leader="none" w:pos="88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Bring-down Comfort Letter</w:t>
      </w:r>
      <w:r>
        <w:rPr>
          <w:rFonts w:ascii="Times New Roman" w:cs="Times New Roman" w:eastAsia="Times New Roman" w:hAnsi="Times New Roman"/>
          <w:sz w:val="18"/>
          <w:szCs w:val="18"/>
          <w:color w:val="auto"/>
        </w:rPr>
        <w:t>. At the Closing Time, the Representative shall have received from Baker Tilly US, LLP a letter, dated as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Closing Time, to the effect that they reaffirm the statements made in the letter furnished pursuant to subsection (e) of this Section, except that the specified date referred to shall be a date not more than three business days prior to the Closing Time.</w:t>
      </w:r>
    </w:p>
    <w:p>
      <w:pPr>
        <w:spacing w:after="0" w:line="173" w:lineRule="exact"/>
        <w:rPr>
          <w:rFonts w:ascii="Times New Roman" w:cs="Times New Roman" w:eastAsia="Times New Roman" w:hAnsi="Times New Roman"/>
          <w:sz w:val="18"/>
          <w:szCs w:val="18"/>
          <w:color w:val="auto"/>
        </w:rPr>
      </w:pPr>
    </w:p>
    <w:p>
      <w:pPr>
        <w:ind w:firstLine="656"/>
        <w:spacing w:after="0" w:line="284" w:lineRule="auto"/>
        <w:tabs>
          <w:tab w:leader="none" w:pos="90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Approval of Listing</w:t>
      </w:r>
      <w:r>
        <w:rPr>
          <w:rFonts w:ascii="Times New Roman" w:cs="Times New Roman" w:eastAsia="Times New Roman" w:hAnsi="Times New Roman"/>
          <w:sz w:val="18"/>
          <w:szCs w:val="18"/>
          <w:color w:val="auto"/>
        </w:rPr>
        <w:t>. At the Closing Time, the Nasdaq Stock Market LLC shall not have raised any objection to the listing of the Shares,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Warrant Shares and any Option Securities on Nasdaq.</w:t>
      </w:r>
    </w:p>
    <w:p>
      <w:pPr>
        <w:spacing w:after="0" w:line="158" w:lineRule="exact"/>
        <w:rPr>
          <w:rFonts w:ascii="Times New Roman" w:cs="Times New Roman" w:eastAsia="Times New Roman" w:hAnsi="Times New Roman"/>
          <w:sz w:val="18"/>
          <w:szCs w:val="18"/>
          <w:color w:val="auto"/>
        </w:rPr>
      </w:pPr>
    </w:p>
    <w:p>
      <w:pPr>
        <w:ind w:firstLine="656"/>
        <w:spacing w:after="0" w:line="284" w:lineRule="auto"/>
        <w:tabs>
          <w:tab w:leader="none" w:pos="91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Objection</w:t>
      </w:r>
      <w:r>
        <w:rPr>
          <w:rFonts w:ascii="Times New Roman" w:cs="Times New Roman" w:eastAsia="Times New Roman" w:hAnsi="Times New Roman"/>
          <w:sz w:val="18"/>
          <w:szCs w:val="18"/>
          <w:color w:val="auto"/>
        </w:rPr>
        <w:t>. FINRA has confirmed that it has not raised any objection with respect to the fairness and reasonableness of the underwriting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terms and arrangements relating to the offering of the Securities.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0" w:name="page31"/>
    <w:bookmarkEnd w:id="30"/>
    <w:p>
      <w:pPr>
        <w:ind w:firstLine="656"/>
        <w:spacing w:after="0" w:line="284" w:lineRule="auto"/>
        <w:tabs>
          <w:tab w:leader="none" w:pos="86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Lock-up Agreements</w:t>
      </w:r>
      <w:r>
        <w:rPr>
          <w:rFonts w:ascii="Times New Roman" w:cs="Times New Roman" w:eastAsia="Times New Roman" w:hAnsi="Times New Roman"/>
          <w:sz w:val="18"/>
          <w:szCs w:val="18"/>
          <w:color w:val="auto"/>
        </w:rPr>
        <w:t>. At the date of this Agreement, the Representative shall have received an agreement substantially in the form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hereto signed by each of the Company’s directors and officers and their respective affiliated securityholders.</w:t>
      </w:r>
    </w:p>
    <w:p>
      <w:pPr>
        <w:spacing w:after="0" w:line="160"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3" w:lineRule="exact"/>
        <w:rPr>
          <w:rFonts w:ascii="Times New Roman" w:cs="Times New Roman" w:eastAsia="Times New Roman" w:hAnsi="Times New Roman"/>
          <w:sz w:val="18"/>
          <w:szCs w:val="18"/>
          <w:color w:val="auto"/>
        </w:rPr>
      </w:pPr>
    </w:p>
    <w:p>
      <w:pPr>
        <w:ind w:firstLine="656"/>
        <w:spacing w:after="0" w:line="284" w:lineRule="auto"/>
        <w:tabs>
          <w:tab w:leader="none" w:pos="93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Maintenance of Rating</w:t>
      </w:r>
      <w:r>
        <w:rPr>
          <w:rFonts w:ascii="Times New Roman" w:cs="Times New Roman" w:eastAsia="Times New Roman" w:hAnsi="Times New Roman"/>
          <w:sz w:val="18"/>
          <w:szCs w:val="18"/>
          <w:color w:val="auto"/>
        </w:rPr>
        <w:t>. Neither the Company nor its Subsidiaries have any debt securities or preference shares that are rated by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“nationally recognized statistical rating agency” (as defined in Section 3(a)(62) of the 1934 Act).</w:t>
      </w:r>
    </w:p>
    <w:p>
      <w:pPr>
        <w:spacing w:after="0" w:line="158" w:lineRule="exact"/>
        <w:rPr>
          <w:rFonts w:ascii="Times New Roman" w:cs="Times New Roman" w:eastAsia="Times New Roman" w:hAnsi="Times New Roman"/>
          <w:sz w:val="18"/>
          <w:szCs w:val="18"/>
          <w:color w:val="auto"/>
        </w:rPr>
      </w:pPr>
    </w:p>
    <w:p>
      <w:pPr>
        <w:jc w:val="both"/>
        <w:ind w:firstLine="656"/>
        <w:spacing w:after="0" w:line="261" w:lineRule="auto"/>
        <w:tabs>
          <w:tab w:leader="none" w:pos="89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Conditions to Purchase of Option Securities</w:t>
      </w:r>
      <w:r>
        <w:rPr>
          <w:rFonts w:ascii="Times New Roman" w:cs="Times New Roman" w:eastAsia="Times New Roman" w:hAnsi="Times New Roman"/>
          <w:sz w:val="18"/>
          <w:szCs w:val="18"/>
          <w:color w:val="auto"/>
        </w:rPr>
        <w:t>. In the event that the Underwriters exercise their option provided in Section 2(b) hereof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 all or any portion of the Option Securities, the representations and warranties of the Company contained herein and the statements in any certificates furnished by the Company and any of its Subsidiaries hereunder shall be true and correct as of each Date of Delivery and, at the relevant Date of Delivery, the Representative shall have received:</w:t>
      </w:r>
    </w:p>
    <w:p>
      <w:pPr>
        <w:spacing w:after="0" w:line="181" w:lineRule="exact"/>
        <w:rPr>
          <w:rFonts w:ascii="Times New Roman" w:cs="Times New Roman" w:eastAsia="Times New Roman" w:hAnsi="Times New Roman"/>
          <w:sz w:val="18"/>
          <w:szCs w:val="18"/>
          <w:color w:val="auto"/>
        </w:rPr>
      </w:pPr>
    </w:p>
    <w:p>
      <w:pPr>
        <w:jc w:val="both"/>
        <w:ind w:left="660" w:right="20" w:firstLine="644"/>
        <w:spacing w:after="0" w:line="266" w:lineRule="auto"/>
        <w:tabs>
          <w:tab w:leader="none" w:pos="1523"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Officers’ Certificate</w:t>
      </w:r>
      <w:r>
        <w:rPr>
          <w:rFonts w:ascii="Times New Roman" w:cs="Times New Roman" w:eastAsia="Times New Roman" w:hAnsi="Times New Roman"/>
          <w:sz w:val="18"/>
          <w:szCs w:val="18"/>
          <w:color w:val="auto"/>
        </w:rPr>
        <w:t>. A certificate, dated such Date of Delivery, of the principal executive officer of the Company and of the principal financial officer of the Company confirming that the certificate delivered at the Closing Time pursuant to Section 5(d) hereof remains true and correct as of such Date of Delivery.</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573"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Opinions of Counsel for Company</w:t>
      </w:r>
      <w:r>
        <w:rPr>
          <w:rFonts w:ascii="Times New Roman" w:cs="Times New Roman" w:eastAsia="Times New Roman" w:hAnsi="Times New Roman"/>
          <w:sz w:val="18"/>
          <w:szCs w:val="18"/>
          <w:color w:val="auto"/>
        </w:rPr>
        <w:t>. If requested by the Representative, (i) the opinion and negative assurance letter of Gibson, Dunn &amp; Crutcher LLP, counsel for the Company, (ii) the opinion of Walkers (Cayman) LLP, counsel for the Company as to certain matters of Cayman Islands law, and (iii) the opinion of Greenblum &amp; Bernstein, P.L.C., special counsel for the Company with respect to intellectual property matters, each in form and substance satisfactory to counsel for the Underwriters, dated such Date of Delivery, relating to the Option Securities to be purchased on such Date of Delivery and otherwise to the same effect as the opinions and negative assurance letter required by Section 5(b) hereof.</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623"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Opinion of Counsel for Underwriters</w:t>
      </w:r>
      <w:r>
        <w:rPr>
          <w:rFonts w:ascii="Times New Roman" w:cs="Times New Roman" w:eastAsia="Times New Roman" w:hAnsi="Times New Roman"/>
          <w:sz w:val="18"/>
          <w:szCs w:val="18"/>
          <w:color w:val="auto"/>
        </w:rPr>
        <w:t>. If requested by the Representative, the opinion, and negative assurance letter, of Mintz, Levin, Cohn, Ferris, Glovsky and Popeo, P.C., counsel for the Underwriters, dated such Date of Delivery, relating to the Option Securities to be purchased on such Date of Delivery and otherwise to the same effect as the opinions and negative assurance letter required by Section 5(c) hereof.</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613"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Bring-down Comfort Letter</w:t>
      </w:r>
      <w:r>
        <w:rPr>
          <w:rFonts w:ascii="Times New Roman" w:cs="Times New Roman" w:eastAsia="Times New Roman" w:hAnsi="Times New Roman"/>
          <w:sz w:val="18"/>
          <w:szCs w:val="18"/>
          <w:color w:val="auto"/>
        </w:rPr>
        <w:t>. If requested by the Representative, a letter from Baker Tilly US, LLP, in form and substance satisfactory to the Representative and dated such Date of Delivery, substantially in the same form and substance as the letter furnished to the Representative pursuant to subsection (f) of this Section, except that the “specified date” in the letter furnished pursuant to this paragraph shall be a date not more than three business days prior to such Date of Delivery.</w:t>
      </w:r>
    </w:p>
    <w:p>
      <w:pPr>
        <w:spacing w:after="0" w:line="179"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jc w:val="both"/>
        <w:ind w:firstLine="656"/>
        <w:spacing w:after="0" w:line="258" w:lineRule="auto"/>
        <w:tabs>
          <w:tab w:leader="none" w:pos="95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Additional Documents</w:t>
      </w:r>
      <w:r>
        <w:rPr>
          <w:rFonts w:ascii="Times New Roman" w:cs="Times New Roman" w:eastAsia="Times New Roman" w:hAnsi="Times New Roman"/>
          <w:sz w:val="18"/>
          <w:szCs w:val="18"/>
          <w:color w:val="auto"/>
        </w:rPr>
        <w:t>. At the Closing Time and at each Date of Delivery (if any), counsel for the Underwriters shall have been furnished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other documents and opinions as they may reasonably require for the purpose of enabling them to pass upon the issuance and sale of the Securities as herein contemplated, or in order to evidence the accuracy of any of the representations or warranties, or the fulfillment of any of the conditions, herein contained; and all proceedings taken by the Company in connection with the issuance and sale of the Securities as herein contemplated shall be reasonably satisfactory in form and substance to the Representative and counsel for the Underwriters.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1" w:name="page32"/>
    <w:bookmarkEnd w:id="31"/>
    <w:p>
      <w:pPr>
        <w:jc w:val="both"/>
        <w:ind w:firstLine="656"/>
        <w:spacing w:after="0" w:line="258" w:lineRule="auto"/>
        <w:tabs>
          <w:tab w:leader="none" w:pos="91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of Agreement</w:t>
      </w:r>
      <w:r>
        <w:rPr>
          <w:rFonts w:ascii="Times New Roman" w:cs="Times New Roman" w:eastAsia="Times New Roman" w:hAnsi="Times New Roman"/>
          <w:sz w:val="18"/>
          <w:szCs w:val="18"/>
          <w:color w:val="auto"/>
        </w:rPr>
        <w:t>. If any condition specified in this Section shall not have been fulfilled when and as required to be fulfilled,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or, in the case of any condition to the purchase of Option Securities on a Date of Delivery which is after the Closing Time, the obligations of the several Underwriters to purchase the relevant Option Securities, may be terminated by the Representative by notice to the Company at any time at or prior to Closing Time or such Date of Delivery, as the case may be, and such termination shall be without liability of any party to any other party except as provided in Section 4 and except that Sections 1, 4, 6, 7, 8, 14, 15, 16 and 17 shall survive any such termination and remain in full force and effect.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firstLine="656"/>
        <w:spacing w:after="0" w:line="267" w:lineRule="auto"/>
        <w:tabs>
          <w:tab w:leader="none" w:pos="89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Indemnification of Underwriters</w:t>
      </w:r>
      <w:r>
        <w:rPr>
          <w:rFonts w:ascii="Times New Roman" w:cs="Times New Roman" w:eastAsia="Times New Roman" w:hAnsi="Times New Roman"/>
          <w:sz w:val="18"/>
          <w:szCs w:val="18"/>
          <w:color w:val="auto"/>
        </w:rPr>
        <w:t>. The Company agrees to indemnify and hold harmless each Underwriter, its affiliates (as such term is defined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Rule 501(b) under the 1933 Act (each, an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its selling agents and each person, if any, who controls any Underwriter within the meaning of Section 15 of the 1933 Act or Section 20 of the 1934 Act as follows:</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53" w:lineRule="auto"/>
        <w:tabs>
          <w:tab w:leader="none" w:pos="153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and all loss, liability, claim, damage and expense whatsoever, as incurred, arising out of any untrue statement or alleged untrue statement of a material fact contained in the Registration Statement (or any amendment thereto), including any information deemed to be a part thereof pursuant to Rule 430B, or the omission or alleged omission therefrom of a material fact required to be stated therein or necessary to make the statements therein not misleading or arising out of any untrue statement or alleged untrue statement of a material fact included (A) in any preliminary prospectus, any Issuer Free Writing Prospectus, any Written Testing-the-Waters Communication, the General Disclosure Package or the Prospectus (or any amendment or supplement thereto), or (B) in any materials or information provided to investors by, or with the approval of, the Company in connection with the marketing of the offering of the Securities (“</w:t>
      </w:r>
      <w:r>
        <w:rPr>
          <w:rFonts w:ascii="Times New Roman" w:cs="Times New Roman" w:eastAsia="Times New Roman" w:hAnsi="Times New Roman"/>
          <w:sz w:val="18"/>
          <w:szCs w:val="18"/>
          <w:u w:val="single" w:color="auto"/>
          <w:color w:val="auto"/>
        </w:rPr>
        <w:t>Marketing Materials</w:t>
      </w:r>
      <w:r>
        <w:rPr>
          <w:rFonts w:ascii="Times New Roman" w:cs="Times New Roman" w:eastAsia="Times New Roman" w:hAnsi="Times New Roman"/>
          <w:sz w:val="18"/>
          <w:szCs w:val="18"/>
          <w:color w:val="auto"/>
        </w:rPr>
        <w:t>”), including any roadshow or investor presentations made to investors by the Company (whether in person or electronically), or the omission or alleged omission in any preliminary prospectus, any Issuer Free Writing Prospectus, any Written Testing-the-Waters Communication, the General Disclosure Package, the Prospectus (or any amendment or supplement thereto) or in any Marketing Materials of a material fact necessary in order to make the statements therein, in the light of the circumstances under which they were made, not misleading;</w:t>
      </w:r>
    </w:p>
    <w:p>
      <w:pPr>
        <w:spacing w:after="0" w:line="191"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8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and all loss, liability, claim, damage and expense whatsoever, as incurred,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provided that (subject to Section 6(d) below) any such settlement is effected with the written consent of the Company;</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62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and all expense whatsoever, as incurred (including the fees and disbursements of counsel chosen by the Representative),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 (i) or (ii) above;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provided, however, that this indemnity agreement shall not apply to any loss, liability, claim, damage or expense to the extent arising out of any untrue statement or omission or alleged untrue statement or omission made in the Registration Statement (or any amendment thereto), including any information deemed to be a part thereof pursuant to Rule 430B, the General Disclosure Package or the Prospectus (or any amendment or supplement thereto) in reliance upon and in conformity with the Underwriter Information.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2" w:name="page33"/>
    <w:bookmarkEnd w:id="32"/>
    <w:p>
      <w:pPr>
        <w:jc w:val="both"/>
        <w:ind w:firstLine="656"/>
        <w:spacing w:after="0" w:line="257" w:lineRule="auto"/>
        <w:tabs>
          <w:tab w:leader="none" w:pos="91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Indemnification of Company, Directors and Officers</w:t>
      </w:r>
      <w:r>
        <w:rPr>
          <w:rFonts w:ascii="Times New Roman" w:cs="Times New Roman" w:eastAsia="Times New Roman" w:hAnsi="Times New Roman"/>
          <w:sz w:val="18"/>
          <w:szCs w:val="18"/>
          <w:color w:val="auto"/>
        </w:rPr>
        <w:t>. Each Underwriter severally agrees to indemnify and hold harmless the Company,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each of its officers who signed the Registration Statement, and each person, if any, who controls the Company within the meaning of Section 15 of the 1933 Act or Section 20 of the 1934 Act, against any and all loss, liability, claim, damage and expense described in the indemnity contained in subsection (a) of this Section, as incurred, but only with respect to untrue statements or omissions, or alleged untrue statements or omissions, made in the Registration Statement (or any amendment thereto), including any information deemed to be a part thereof pursuant to Rule 430B, the General Disclosure Package or the Prospectus (or any amendment or supplement thereto) in reliance upon and in conformity with the Underwriter Information.</w:t>
      </w:r>
    </w:p>
    <w:p>
      <w:pPr>
        <w:spacing w:after="0" w:line="182" w:lineRule="exact"/>
        <w:rPr>
          <w:rFonts w:ascii="Times New Roman" w:cs="Times New Roman" w:eastAsia="Times New Roman" w:hAnsi="Times New Roman"/>
          <w:sz w:val="18"/>
          <w:szCs w:val="18"/>
          <w:color w:val="auto"/>
        </w:rPr>
      </w:pPr>
    </w:p>
    <w:p>
      <w:pPr>
        <w:jc w:val="both"/>
        <w:ind w:firstLine="656"/>
        <w:spacing w:after="0" w:line="252" w:lineRule="auto"/>
        <w:tabs>
          <w:tab w:leader="none" w:pos="90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Actions against Parties; Notification</w:t>
      </w:r>
      <w:r>
        <w:rPr>
          <w:rFonts w:ascii="Times New Roman" w:cs="Times New Roman" w:eastAsia="Times New Roman" w:hAnsi="Times New Roman"/>
          <w:sz w:val="18"/>
          <w:szCs w:val="18"/>
          <w:color w:val="auto"/>
        </w:rPr>
        <w:t>. Each indemnified party shall give notice as promptly as reasonably practicable to each indemnifying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party of any action commenced against it in respect of which indemnity may be sought hereunder, but failure to so notify an indemnifying party shall not relieve such indemnifying party from any liability hereunder to the extent it is not materially prejudiced as a result thereof and in any event shall not relieve it from any liability which it may have otherwise than on account of this indemnity agreement. In the case of parties indemnified pursuant to Section 6(a) above, counsel to the indemnified parties shall be selected by the Representative, and, in the case of parties indemnified pursuant to Section 6(b) above, counsel to the indemnified parties shall be selected by the Company. An indemnifying party may participate at its own expense in the defense of any such action; provided, however, that counsel to the indemnifying party shall not (except with the consent of the indemnified party) also be counsel to the indemnified party. In no event shall the indemnifying parties be liable for the reasonable fees and expenses of more than one counsel (in addition to any local counsel) separate from their own counsel for all indemnified parties in connection with any one action or separate but similar or related actions in the same jurisdiction arising out of the same general allegations or circumstances. No indemnifying party shall, without the prior written consent of the indemnified parties, settle or compromise or consent to the entry of any judgment with respect to any litigation, or any investigation or proceeding by any governmental agency or body, commenced or threatened, or any claim whatsoever in respect of which indemnification or contribution could be sought under this Section 6 or Section 7 hereof (whether or not the indemnified parties are actual or potential parties thereto), unless such settlement, compromise or consent (i) includes an unconditional release of each indemnified party from all liability arising out of such litigation, investigation, proceeding or claim and (ii) does not include a statement as to or an admission of fault, culpability or a failure to act by or on behalf of any indemnified party.</w:t>
      </w:r>
    </w:p>
    <w:p>
      <w:pPr>
        <w:spacing w:after="0" w:line="195" w:lineRule="exact"/>
        <w:rPr>
          <w:rFonts w:ascii="Times New Roman" w:cs="Times New Roman" w:eastAsia="Times New Roman" w:hAnsi="Times New Roman"/>
          <w:sz w:val="18"/>
          <w:szCs w:val="18"/>
          <w:color w:val="auto"/>
        </w:rPr>
      </w:pPr>
    </w:p>
    <w:p>
      <w:pPr>
        <w:jc w:val="both"/>
        <w:ind w:firstLine="656"/>
        <w:spacing w:after="0" w:line="257" w:lineRule="auto"/>
        <w:tabs>
          <w:tab w:leader="none" w:pos="93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Settlement without Consent if Failure to Reimburse</w:t>
      </w:r>
      <w:r>
        <w:rPr>
          <w:rFonts w:ascii="Times New Roman" w:cs="Times New Roman" w:eastAsia="Times New Roman" w:hAnsi="Times New Roman"/>
          <w:sz w:val="18"/>
          <w:szCs w:val="18"/>
          <w:color w:val="auto"/>
        </w:rPr>
        <w:t>. If at any time an indemnified party shall have requested an indemnifying party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reimburse the indemnified party for fees and expenses of counsel, such indemnifying party agrees that it shall be liable for any settlement of the nature contemplated by Section 6(a)(ii) effected without its written consent if (i) such settlement is entered into more than 45 days after receipt by such indemnifying party of the aforesaid request, (ii) such indemnifying party shall have received notice of the terms of such settlement at least 30 days prior to such settlement being entered into and (iii) such indemnifying party shall not have reimbursed such indemnified party in accordance with such request prior to the date of such settlement.</w:t>
      </w:r>
    </w:p>
    <w:p>
      <w:pPr>
        <w:spacing w:after="0" w:line="18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If the indemnification provided for in Section 6 hereof is for any reason unavailable to or insufficient to hold harmless an indemnified party in respect of any losses, liabilities, claims, damages or expenses referred to therein, then each indemnifying party shall contribute to the aggregate amount of such losses, liabilities, claims, damages and expenses incurred by such indemnified party, as incurred, (i) in such proportion as is appropriate to reflect the relative benefits received by the Company, on the one hand, and the Underwriters, on the other hand, from the offering of the Securities pursuant to this Agreement or (ii) if the allocation provided by clause (i) is not permitted by applicable law, in such proportion as is appropriate to reflect not only the relative benefits referred to in clause (i) above but also the relative fault of the Company, on the one hand, and of the Underwriters, on the other hand, in connection with the statements or omissions which resulted in such losses, liabilities, claims, damages or expenses, as well as any other relevant equitable considerations.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3" w:name="page34"/>
    <w:bookmarkEnd w:id="33"/>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relative benefits received by the Company, on the one hand, and the Underwriters, on the other hand, in connection with the offering of the Securities pursuant to this Agreement shall be deemed to be in the same respective proportions as the total net proceeds from the offering of the Securities pursuant to this Agreement (after deducting underwriting discounts and commissions but before deducting expenses) received by the Company, on the one hand, and the total underwriting discount received by the Underwriters, on the other hand, in each case as set forth on the cover of the Prospectus, bear to the aggregate initial public offering price of the Securities as set forth on the cover of the Prospectus.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relative fault of the Company,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or by the Underwriters and the parties’ relative intent, knowledge, access to information and opportunity to correct or prevent such statement or omission.</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and the Underwriters agree that it would not be just and equitable if contribution pursuant to this Section 7 were determined by pro rata allocation (even if the Underwriters were treated as one entity for such purpose) or by any other method of allocation which does not take account of the equitable considerations referred to above in this Section 7. The aggregate amount of losses, liabilities, claims, damages and expenses incurred by an indemnified party and referred to above in this Section 7 shall be deemed to include any legal or other expenses reasonably incurred by such indemnified party in investigating, preparing or defending against any litigation, or any investigation or proceeding by any governmental agency or body, commenced or threatened, or any claim whatsoever based upon any such untrue or alleged untrue statement or omission or alleged omission.</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Notwithstanding the provisions of this Section 7, no Underwriter shall be required to contribute any amount in excess of the underwriting discounts and commissions received by such Underwriter in connection with the Securities underwritten by it and distributed to the public.</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 person guilty of fraudulent misrepresentation (within the meaning of Section 11(f) of the 1933 Act) shall be entitled to contribution from any person who was not guilty of such fraudulent misrepresentation.</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For purposes of this Section 7, each person, if any, who controls an Underwriter within the meaning of Section 15 of the 1933 Act or Section 20 of the 1934 Act and each Underwriter’s Affiliates and selling agents shall have the same rights to contribution as such Underwriter, and each director of the Company, each officer of the Company who signed the Registration Statement, and each person, if any, who controls the Company within the meaning of Section 15 of the 1933 Act or Section 20 of the 1934 Act shall have the same rights to contribution as the Company. The Underwriters’ respective obligations to contribute pursuant to this Section 7 are several in proportion to the number of Initial Securities set forth opposite their respective names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and not joint.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Representations, Warranties and Agreements to Survive</w:t>
      </w:r>
      <w:r>
        <w:rPr>
          <w:rFonts w:ascii="Times New Roman" w:cs="Times New Roman" w:eastAsia="Times New Roman" w:hAnsi="Times New Roman"/>
          <w:sz w:val="18"/>
          <w:szCs w:val="18"/>
          <w:color w:val="auto"/>
        </w:rPr>
        <w:t>. All representations, warranties and agreements contained in this Agreement or in certificates of officers of the Company or any of its Subsidiaries submitted pursuant hereto, shall remain operative and in full force and effect regardless of (i) any investigation made by or on behalf of any Underwriter or its Affiliates or selling agents, any person controlling any Underwriter, its officers or directors or any person controlling the Company and (ii) delivery of and payment for the Shares and/or Pre-Funded Warrants.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Termination of Agreement</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firstLine="656"/>
        <w:spacing w:after="0" w:line="253" w:lineRule="auto"/>
        <w:tabs>
          <w:tab w:leader="none" w:pos="89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The Representative may terminate this Agreement, by notice to the Company, at any time at or prior to the Closing Time (i)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 has been, in the judgment of the Representative, since the time of execution of this Agreement or since the respective dates as of which information is given in the Registration Statement, the General Disclosure Package or the Prospectus, any material adverse change in the condition, financial or otherwise, or in the earnings, business affairs or business prospects of the Company and its Subsidiaries considered as one enterprise, whether or not arising in the ordinary course of business, or (ii) if there has occurred any material adverse change in the financial markets in the United States or the international financial markets, any outbreak of hostilities or escalation thereof or other calamity or crisis or any change or development involving a prospective change in U.S. or international political, financial or economic conditions, in each case the effect of which is such as to make it, in the judgment of the Representative, impracticable or inadvisable to proceed with the completion of the offering or to enforce contracts for the sale of the Securities, or (iii) if trading in any securities of the Company has been suspended or materially limited by the Commission or Nasdaq, or (iv) if trading generally on the NYSE MKT or the New York Stock Exchange or in the Nasdaq Stock Market has been suspended or materially limited, or minimum or maximum prices for trading have been fixed, or maximum ranges for prices have been required, by any of said exchanges or by order of the Commission, FINRA or any other governmental authority, (v) a material disruption has occurred in commercial banking or securities settlement or clearance services in the United States or with respect to Clearstream or Euroclear systems in Europe, or (vi) if a banking moratorium has been declared by either Federal or New York authorities.</w:t>
      </w:r>
    </w:p>
    <w:p>
      <w:pPr>
        <w:spacing w:after="0" w:line="187" w:lineRule="exact"/>
        <w:rPr>
          <w:rFonts w:ascii="Times New Roman" w:cs="Times New Roman" w:eastAsia="Times New Roman" w:hAnsi="Times New Roman"/>
          <w:sz w:val="18"/>
          <w:szCs w:val="18"/>
          <w:color w:val="auto"/>
        </w:rPr>
      </w:pPr>
    </w:p>
    <w:p>
      <w:pPr>
        <w:jc w:val="both"/>
        <w:ind w:firstLine="656"/>
        <w:spacing w:after="0" w:line="267" w:lineRule="auto"/>
        <w:tabs>
          <w:tab w:leader="none" w:pos="90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Liabilities</w:t>
      </w:r>
      <w:r>
        <w:rPr>
          <w:rFonts w:ascii="Times New Roman" w:cs="Times New Roman" w:eastAsia="Times New Roman" w:hAnsi="Times New Roman"/>
          <w:sz w:val="18"/>
          <w:szCs w:val="18"/>
          <w:color w:val="auto"/>
        </w:rPr>
        <w:t>. If this Agreement is terminated pursuant to this Section, such termination shall be without liability of any party to any other party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except as provided in Section 4 hereof, and provided further that Sections 1, 4, 6, 7, 8, 14, 15, 16 and 17 shall survive such termination and remain in full force and effect.</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Default by One or More of the Underwriters</w:t>
      </w:r>
      <w:r>
        <w:rPr>
          <w:rFonts w:ascii="Times New Roman" w:cs="Times New Roman" w:eastAsia="Times New Roman" w:hAnsi="Times New Roman"/>
          <w:sz w:val="18"/>
          <w:szCs w:val="18"/>
          <w:color w:val="auto"/>
        </w:rPr>
        <w:t>. If one or more of the Underwriters shall fail at the Closing Time or a Date of Delivery to purchase the Securities which it or they are obligated to purchase under this Agreement (the “</w:t>
      </w:r>
      <w:r>
        <w:rPr>
          <w:rFonts w:ascii="Times New Roman" w:cs="Times New Roman" w:eastAsia="Times New Roman" w:hAnsi="Times New Roman"/>
          <w:sz w:val="18"/>
          <w:szCs w:val="18"/>
          <w:u w:val="single" w:color="auto"/>
          <w:color w:val="auto"/>
        </w:rPr>
        <w:t>Defaulted Securities</w:t>
      </w:r>
      <w:r>
        <w:rPr>
          <w:rFonts w:ascii="Times New Roman" w:cs="Times New Roman" w:eastAsia="Times New Roman" w:hAnsi="Times New Roman"/>
          <w:sz w:val="18"/>
          <w:szCs w:val="18"/>
          <w:color w:val="auto"/>
        </w:rPr>
        <w:t>”), the Representative shall have the right, within 24 hours thereafter, to make arrangements for one or more of the non-defaulting Underwriters, or any other underwriters, to purchase all, but not less than all, of the Defaulted Securities in such amounts as may be agreed upon and upon the terms herein set forth; if, however, the Representative shall not have completed such arrangements within such 24-hour period, then:</w:t>
      </w:r>
    </w:p>
    <w:p>
      <w:pPr>
        <w:spacing w:after="0" w:line="183" w:lineRule="exact"/>
        <w:rPr>
          <w:sz w:val="20"/>
          <w:szCs w:val="20"/>
          <w:color w:val="auto"/>
        </w:rPr>
      </w:pPr>
    </w:p>
    <w:p>
      <w:pPr>
        <w:jc w:val="both"/>
        <w:ind w:left="660" w:firstLine="644"/>
        <w:spacing w:after="0" w:line="266" w:lineRule="auto"/>
        <w:tabs>
          <w:tab w:leader="none" w:pos="152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number of Defaulted Securities does not exceed 10% of the number of Securities to be purchased on such date, each of the non-defaulting Underwriters shall be obligated, severally and not jointly, to purchase the full amount thereof in the proportions that their respective underwriting obligations hereunder bear to the underwriting obligations of all non-defaulting Underwriters, or</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7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number of Defaulted Securities exceeds 10% of the number of Securities to be purchased on such date, this Agreement or, with respect to any Date of Delivery which occurs after the Closing Time, the obligation of the Underwriters to purchase, and the Company to sell, the Option Securities to be purchased and sold on such Date of Delivery shall terminate without liability on the part of any non-defaulting Underwriter.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ind w:left="660"/>
        <w:spacing w:after="0"/>
        <w:rPr>
          <w:sz w:val="20"/>
          <w:szCs w:val="20"/>
          <w:color w:val="auto"/>
        </w:rPr>
      </w:pPr>
      <w:r>
        <w:rPr>
          <w:rFonts w:ascii="Times New Roman" w:cs="Times New Roman" w:eastAsia="Times New Roman" w:hAnsi="Times New Roman"/>
          <w:sz w:val="18"/>
          <w:szCs w:val="18"/>
          <w:color w:val="auto"/>
        </w:rPr>
        <w:t>No action taken pursuant to this Section shall relieve any defaulting Underwriter from liability in respect of its default.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the event of any such default which does not result in a termination of this Agreement or, in the case of a Date of Delivery which is after the Closing Time, which does not result in a termination of the obligation of the Underwriters to purchase and the Company to sell the relevant Option Securities, as the case may be, either the (i) Representative or (ii) the Company shall have the right to postpone Closing Time or the relevant Date of Delivery, as the case may be, for a period not exceeding seven days in order to effect any required changes in the Registration Statement, the General Disclosure Package or the Prospectus or in any other documents or arrangements. As used herein, the term “Underwriter” includes any person substituted for an Underwriter under this Section 10.</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hereunder shall be in writing and shall be deemed to have been duly given if mailed or transmitted by any standard form of telecommunication. Notices to the Underwriters shall be directed (i) to Leerink Partners LLC at 1301 Avenue of the</w:t>
      </w:r>
    </w:p>
    <w:p>
      <w:pPr>
        <w:jc w:val="both"/>
        <w:spacing w:after="0" w:line="227" w:lineRule="auto"/>
        <w:rPr>
          <w:sz w:val="20"/>
          <w:szCs w:val="20"/>
          <w:color w:val="auto"/>
        </w:rPr>
      </w:pPr>
      <w:r>
        <w:rPr>
          <w:rFonts w:ascii="Times New Roman" w:cs="Times New Roman" w:eastAsia="Times New Roman" w:hAnsi="Times New Roman"/>
          <w:sz w:val="18"/>
          <w:szCs w:val="18"/>
          <w:color w:val="auto"/>
        </w:rPr>
        <w:t>Americas,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New York, 10019, attention of Stuart R. Nayman and (ii) to Mintz, Levin, Cohn, Ferris, Glovsky and Popeo, P.C. at One Financial Center, Boston, MA 02111, attention of William C. Hicks, John T. Rudy, and Nishant M. Dharia. Notices to the Company shall be directed to (i) MoonLake Immunotherapeutics, Dorfstrasse 29, 6300 Zug, Switzerland, Attention: Chief Financial Officer and (ii) Gibson, Dunn &amp; Crutcher LLP, One Embarcadero Center, Suite 2600, San Francisco, CA 94111, Attention: Ryan A. Murr and Branden Berns.</w:t>
      </w:r>
    </w:p>
    <w:p>
      <w:pPr>
        <w:spacing w:after="0" w:line="19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No Advisory or Fiduciary Relationship</w:t>
      </w:r>
      <w:r>
        <w:rPr>
          <w:rFonts w:ascii="Times New Roman" w:cs="Times New Roman" w:eastAsia="Times New Roman" w:hAnsi="Times New Roman"/>
          <w:sz w:val="18"/>
          <w:szCs w:val="18"/>
          <w:color w:val="auto"/>
        </w:rPr>
        <w:t>. The Company acknowledges and agrees that (a) the purchase and sale of the Securities pursuant to this Agreement, including the determination of the initial public offering price of the Securities and any related discounts and commissions, is an arm’s-length commercial transaction between the Company, on the one hand, and the several Underwriters, on the other hand, (b) in connection with the offering of the Securities and the process leading thereto, each Underwriter is and has been acting solely as a principal and is not the agent or fiduciary of the Company, any of its Subsidiaries or their respective shareholders, creditors, employees or any other party, (c) no Underwriter has assumed or will assume an advisory or fiduciary responsibility in favor of the Company with respect to the offering of the Securities or the process leading thereto (irrespective of whether such Underwriter has advised or is currently advising the Company or any of its Subsidiaries on other matters) and no Underwriter has any obligation to the Company with respect to the offering of the Securities except the obligations expressly set forth in this Agreement, (d) the Underwriters and their respective affiliates may be engaged in a broad range of transactions that involve interests that differ from those of the Company and</w:t>
      </w:r>
    </w:p>
    <w:p>
      <w:pPr>
        <w:spacing w:after="0" w:line="6" w:lineRule="exact"/>
        <w:rPr>
          <w:sz w:val="20"/>
          <w:szCs w:val="20"/>
          <w:color w:val="auto"/>
        </w:rPr>
      </w:pPr>
    </w:p>
    <w:p>
      <w:pPr>
        <w:ind w:firstLine="8"/>
        <w:spacing w:after="0" w:line="260" w:lineRule="auto"/>
        <w:tabs>
          <w:tab w:leader="none" w:pos="2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have not provided any legal, accounting, regulatory or tax advice with respect to the offering of the Securities and the Company has consulted its own respective legal, accounting, regulatory and tax advisors to the extent it deemed appropriate.</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Recognition of the U.S. Special Resolution Regimes</w:t>
      </w:r>
      <w:r>
        <w:rPr>
          <w:rFonts w:ascii="Times New Roman" w:cs="Times New Roman" w:eastAsia="Times New Roman" w:hAnsi="Times New Roman"/>
          <w:sz w:val="18"/>
          <w:szCs w:val="18"/>
          <w:color w:val="auto"/>
        </w:rPr>
        <w:t>.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 purposes of this Agreement, (A) “BHC Act Affiliate” has the meaning assigned to the term “affiliate” in, and shall be interpreted in accordance with, 12 U.S.C. § 1841(k); (B)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(C) “Default Right” has the meaning assigned to that term in, and shall be interpreted in accordance with, 12 C.F.R. §§ 252.81, 47.2 or 382.1, as applicable; and (D) “U.S.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This Agreement shall inure to the benefit of and be binding upon the Underwriters and the Company and their respective successors. Nothing expressed or mentioned in this Agreement is intended or shall be construed to give any person, firm or corporation, other than the Underwriters and the Company and their respective successors and the controlling persons and officers and directors referred to in Sections 6 and 7 and their heirs and legal representatives, any legal or equitable right, remedy or claim under or in respect of this Agreement or any provision herein contained. This Agreement and all conditions and provisions hereof are intended to be for the sole and exclusive benefit of the Underwriters and the Company and their respective successors, and said controlling persons and officers and directors and their heirs and legal representatives, and for the benefit of no other person, firm or corporation. No purchaser of Securities from any Underwriter shall be deemed to be a successor by reason merely of such purchase.</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Waiver of Trial by Jury</w:t>
      </w:r>
      <w:r>
        <w:rPr>
          <w:rFonts w:ascii="Times New Roman" w:cs="Times New Roman" w:eastAsia="Times New Roman" w:hAnsi="Times New Roman"/>
          <w:sz w:val="18"/>
          <w:szCs w:val="18"/>
          <w:color w:val="auto"/>
        </w:rPr>
        <w:t>. The Company (on its behalf and, to the extent permitted by applicable law, on behalf of its shareholders and affiliates)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ANY CLAIM, CONTROVERSY OR DISPUTE ARISING UNDER OR RELATED TO THIS AGREEMENT SHALL BE GOVERNED BY, AND CONSTRUED IN ACCORDANCE WITH THE LAWS OF, THE STATE OF NEW YORK WITHOUT REGARD TO ITS CHOICE OF LAW PROVISIONS.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Consent to Jurisdiction; Waiver of Immunity</w:t>
      </w:r>
      <w:r>
        <w:rPr>
          <w:rFonts w:ascii="Times New Roman" w:cs="Times New Roman" w:eastAsia="Times New Roman" w:hAnsi="Times New Roman"/>
          <w:sz w:val="18"/>
          <w:szCs w:val="18"/>
          <w:color w:val="auto"/>
        </w:rPr>
        <w:t>. Any legal suit, action or proceeding arising out of or based upon this Agreement or the transactions contemplated hereby shall be instituted in (i) the federal courts of the United States of America located in the City and County of New York, Borough of Manhattan or (ii) the courts of the State of New York located in the City and County of New York, Borough of Manhattan (collectively, the “</w:t>
      </w:r>
      <w:r>
        <w:rPr>
          <w:rFonts w:ascii="Times New Roman" w:cs="Times New Roman" w:eastAsia="Times New Roman" w:hAnsi="Times New Roman"/>
          <w:sz w:val="18"/>
          <w:szCs w:val="18"/>
          <w:u w:val="single" w:color="auto"/>
          <w:color w:val="auto"/>
        </w:rPr>
        <w:t>Specified Courts</w:t>
      </w:r>
      <w:r>
        <w:rPr>
          <w:rFonts w:ascii="Times New Roman" w:cs="Times New Roman" w:eastAsia="Times New Roman" w:hAnsi="Times New Roman"/>
          <w:sz w:val="18"/>
          <w:szCs w:val="18"/>
          <w:color w:val="auto"/>
        </w:rPr>
        <w:t>”), and each party irrevocably submits to the exclusive jurisdiction (except for proceedings instituted in regard to the enforcement of a judgment of any such court,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TIME</w:t>
      </w:r>
      <w:r>
        <w:rPr>
          <w:rFonts w:ascii="Times New Roman" w:cs="Times New Roman" w:eastAsia="Times New Roman" w:hAnsi="Times New Roman"/>
          <w:sz w:val="18"/>
          <w:szCs w:val="18"/>
          <w:color w:val="auto"/>
        </w:rPr>
        <w:t>. TIME SHALL BE OF THE ESSENCE OF THIS AGREEMENT. EXCEPT AS OTHERWISE SET FORTH HEREIN, SPECIFIED TIMES OF DAY REFER TO NEW YORK CITY TIME.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19. </w:t>
      </w:r>
      <w:r>
        <w:rPr>
          <w:rFonts w:ascii="Times New Roman" w:cs="Times New Roman" w:eastAsia="Times New Roman" w:hAnsi="Times New Roman"/>
          <w:sz w:val="18"/>
          <w:szCs w:val="18"/>
          <w:u w:val="single" w:color="auto"/>
          <w:color w:val="auto"/>
        </w:rPr>
        <w:t>Partial Unenforceability</w:t>
      </w:r>
      <w:r>
        <w:rPr>
          <w:rFonts w:ascii="Times New Roman" w:cs="Times New Roman" w:eastAsia="Times New Roman" w:hAnsi="Times New Roman"/>
          <w:sz w:val="18"/>
          <w:szCs w:val="18"/>
          <w:color w:val="auto"/>
        </w:rPr>
        <w:t>. The invalidity or unenforceability of any Section, paragraph or provision of this Agreement shall 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20.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(which may include counterparts delivered by any standard form of telecommunication), each of which shall be deemed to be an original, but all such counterparts shall together constitute one and the same agreement.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Effect of Headings</w:t>
      </w:r>
      <w:r>
        <w:rPr>
          <w:rFonts w:ascii="Times New Roman" w:cs="Times New Roman" w:eastAsia="Times New Roman" w:hAnsi="Times New Roman"/>
          <w:sz w:val="18"/>
          <w:szCs w:val="18"/>
          <w:color w:val="auto"/>
        </w:rPr>
        <w:t>. The Section headings herein are for convenience only and shall not affect the construction hereof.</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supersedes all prior agreements and understandings (whether written or oral) between the Company and the Underwriters, or any of them, with respect to the subject matter hereof.</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the foregoing is in accordance with your understanding of our agreement, please sign and return to the Company a counterpart hereof, whereupon this instrument, along with all counterparts, will become a binding agreement among the Underwriters and the Company in accordance with its terms.</w:t>
      </w:r>
    </w:p>
    <w:p>
      <w:pPr>
        <w:spacing w:after="0" w:line="17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MOONLAKE IMMUNOTHERAPEUTICS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Matthias Bodenstedt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Matthias Bodenstedt</w:t>
      </w:r>
    </w:p>
    <w:p>
      <w:pPr>
        <w:spacing w:after="0" w:line="27" w:lineRule="exact"/>
        <w:rPr>
          <w:sz w:val="20"/>
          <w:szCs w:val="20"/>
          <w:color w:val="auto"/>
        </w:rPr>
      </w:pPr>
    </w:p>
    <w:p>
      <w:pPr>
        <w:ind w:left="7100"/>
        <w:spacing w:after="0"/>
        <w:tabs>
          <w:tab w:leader="none" w:pos="76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CONFIRMED AND ACCEPTED</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the date first above written: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LEERINK PARTNERS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Sean Pitt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264033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640330" cy="1714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Sean Pitt</w:t>
      </w:r>
    </w:p>
    <w:p>
      <w:pPr>
        <w:spacing w:after="0" w:line="27"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Managing Director, Investment Banking</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themselves and as Representative of the other Underwriters named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age to</w:t>
      </w:r>
      <w:r>
        <w:rPr>
          <w:rFonts w:ascii="Times New Roman" w:cs="Times New Roman" w:eastAsia="Times New Roman" w:hAnsi="Times New Roman"/>
          <w:sz w:val="18"/>
          <w:szCs w:val="18"/>
          <w:color w:val="auto"/>
        </w:rPr>
        <w:t xml:space="preserve"> U</w:t>
      </w:r>
      <w:r>
        <w:rPr>
          <w:rFonts w:ascii="Times New Roman" w:cs="Times New Roman" w:eastAsia="Times New Roman" w:hAnsi="Times New Roman"/>
          <w:sz w:val="12"/>
          <w:szCs w:val="12"/>
          <w:color w:val="auto"/>
        </w:rPr>
        <w:t>nderwriting</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color w:val="auto"/>
        </w:rPr>
        <w:t>SCHEDULE 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initial public offering price per Share shall be $20.00.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initial public offering price per Pre-Funded Warrant shall be $19.9999.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initial public offering price per Option Security shall be $20.00.</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purchase price per Share and/or Option Security to be paid by the several Underwriters shall be $18.90, being an amount equal to the initial public offering price set forth above less $1.10 per Share and/or Option Security, subject to adjustment in accordance with Section 2(b) for dividends or distributions declared by the Company and payable on the Shares but not payable on the Option Securities.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purchase price per Pre-Funded Warrant to be paid by the Underwriters shall be $18.8999, being an amount equal to the initial public offering price per Pre-Funded Warrant set forth above less $1.10 per Pre-Funded Warrant.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4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16"/>
        </w:trPr>
        <w:tc>
          <w:tcPr>
            <w:tcW w:w="384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Pre-</w:t>
            </w:r>
          </w:p>
        </w:tc>
      </w:tr>
      <w:tr>
        <w:trPr>
          <w:trHeight w:val="216"/>
        </w:trPr>
        <w:tc>
          <w:tcPr>
            <w:tcW w:w="384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Funded</w:t>
            </w:r>
          </w:p>
        </w:tc>
      </w:tr>
      <w:tr>
        <w:trPr>
          <w:trHeight w:val="245"/>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of Underwriters</w:t>
            </w:r>
          </w:p>
        </w:tc>
        <w:tc>
          <w:tcPr>
            <w:tcW w:w="5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Warrants</w:t>
            </w:r>
          </w:p>
        </w:tc>
      </w:tr>
      <w:tr>
        <w:trPr>
          <w:trHeight w:val="216"/>
        </w:trPr>
        <w:tc>
          <w:tcPr>
            <w:tcW w:w="3840" w:type="dxa"/>
            <w:vAlign w:val="bottom"/>
            <w:tcBorders>
              <w:top w:val="single" w:sz="8" w:color="auto"/>
            </w:tcBorders>
          </w:tcPr>
          <w:p>
            <w:pPr>
              <w:spacing w:after="0"/>
              <w:rPr>
                <w:sz w:val="18"/>
                <w:szCs w:val="18"/>
                <w:color w:val="auto"/>
              </w:rPr>
            </w:pPr>
          </w:p>
        </w:tc>
        <w:tc>
          <w:tcPr>
            <w:tcW w:w="5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Leerink Partners LLC</w:t>
            </w:r>
          </w:p>
        </w:tc>
        <w:tc>
          <w:tcPr>
            <w:tcW w:w="64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3,750,000</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416,667</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Guggenheim Securities, LLC</w:t>
            </w:r>
          </w:p>
        </w:tc>
        <w:tc>
          <w:tcPr>
            <w:tcW w:w="64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1,500,000</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166,667</w:t>
            </w: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Cantor Fitzgerald &amp; Co.</w:t>
            </w:r>
          </w:p>
        </w:tc>
        <w:tc>
          <w:tcPr>
            <w:tcW w:w="64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1,500,000</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166,667</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LifeSci Capital LLC</w:t>
            </w:r>
          </w:p>
        </w:tc>
        <w:tc>
          <w:tcPr>
            <w:tcW w:w="64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1,500,000</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166,667</w:t>
            </w: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H.C. Wainwright &amp; Co., LLC</w:t>
            </w:r>
          </w:p>
        </w:tc>
        <w:tc>
          <w:tcPr>
            <w:tcW w:w="64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375,000</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41,666</w:t>
            </w:r>
          </w:p>
        </w:tc>
      </w:tr>
      <w:tr>
        <w:trPr>
          <w:trHeight w:val="23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Clear Street LLC</w:t>
            </w:r>
          </w:p>
        </w:tc>
        <w:tc>
          <w:tcPr>
            <w:tcW w:w="64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375,000</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41,666</w:t>
            </w:r>
          </w:p>
        </w:tc>
      </w:tr>
      <w:tr>
        <w:trPr>
          <w:trHeight w:val="236"/>
        </w:trPr>
        <w:tc>
          <w:tcPr>
            <w:tcW w:w="38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51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9,000,000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642"/>
        </w:trPr>
        <w:tc>
          <w:tcPr>
            <w:tcW w:w="384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jc w:val="right"/>
              <w:ind w:right="319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40" w:name="page41"/>
    <w:bookmarkEnd w:id="40"/>
    <w:p>
      <w:pPr>
        <w:jc w:val="center"/>
        <w:ind w:right="-291"/>
        <w:spacing w:after="0"/>
        <w:rPr>
          <w:sz w:val="20"/>
          <w:szCs w:val="20"/>
          <w:color w:val="auto"/>
        </w:rPr>
      </w:pPr>
      <w:r>
        <w:rPr>
          <w:rFonts w:ascii="Times New Roman" w:cs="Times New Roman" w:eastAsia="Times New Roman" w:hAnsi="Times New Roman"/>
          <w:sz w:val="18"/>
          <w:szCs w:val="18"/>
          <w:color w:val="auto"/>
        </w:rPr>
        <w:t>SCHEDULE B-1</w:t>
      </w:r>
    </w:p>
    <w:p>
      <w:pPr>
        <w:spacing w:after="0" w:line="225" w:lineRule="exact"/>
        <w:rPr>
          <w:sz w:val="20"/>
          <w:szCs w:val="20"/>
          <w:color w:val="auto"/>
        </w:rPr>
      </w:pPr>
    </w:p>
    <w:p>
      <w:pPr>
        <w:jc w:val="center"/>
        <w:ind w:right="-291"/>
        <w:spacing w:after="0"/>
        <w:rPr>
          <w:sz w:val="20"/>
          <w:szCs w:val="20"/>
          <w:color w:val="auto"/>
        </w:rPr>
      </w:pPr>
      <w:r>
        <w:rPr>
          <w:rFonts w:ascii="Times New Roman" w:cs="Times New Roman" w:eastAsia="Times New Roman" w:hAnsi="Times New Roman"/>
          <w:sz w:val="18"/>
          <w:szCs w:val="18"/>
          <w:u w:val="single" w:color="auto"/>
          <w:color w:val="auto"/>
        </w:rPr>
        <w:t>Pricing Terms</w:t>
      </w:r>
    </w:p>
    <w:p>
      <w:pPr>
        <w:spacing w:after="0" w:line="225" w:lineRule="exact"/>
        <w:rPr>
          <w:sz w:val="20"/>
          <w:szCs w:val="20"/>
          <w:color w:val="auto"/>
        </w:rPr>
      </w:pPr>
    </w:p>
    <w:p>
      <w:pPr>
        <w:ind w:left="652" w:hanging="652"/>
        <w:spacing w:after="0"/>
        <w:tabs>
          <w:tab w:leader="none" w:pos="65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selling 9,000,000 Shares.</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public offering price per Share shall be $20.00.</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selling Pre-Funded Warrants to purchase up to 1,000,000 Warrant Shares.</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public offering price per Pre-Funded Warrant shall be $19.9999.</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granted an option to the Underwriters, severally and not jointly, to purchase up to an additional 1,500,000 Option Securities.</w:t>
      </w:r>
    </w:p>
    <w:p>
      <w:pPr>
        <w:spacing w:after="0" w:line="236" w:lineRule="exact"/>
        <w:rPr>
          <w:rFonts w:ascii="Times New Roman" w:cs="Times New Roman" w:eastAsia="Times New Roman" w:hAnsi="Times New Roman"/>
          <w:sz w:val="17"/>
          <w:szCs w:val="17"/>
          <w:color w:val="auto"/>
        </w:rPr>
      </w:pPr>
    </w:p>
    <w:p>
      <w:pPr>
        <w:ind w:left="652" w:hanging="652"/>
        <w:spacing w:after="0"/>
        <w:tabs>
          <w:tab w:leader="none" w:pos="65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public offering price per Option Security shall be $20.00.</w:t>
      </w:r>
    </w:p>
    <w:p>
      <w:pPr>
        <w:spacing w:after="0" w:line="200" w:lineRule="exact"/>
        <w:rPr>
          <w:sz w:val="20"/>
          <w:szCs w:val="20"/>
          <w:color w:val="auto"/>
        </w:rPr>
      </w:pPr>
    </w:p>
    <w:p>
      <w:pPr>
        <w:spacing w:after="0" w:line="241" w:lineRule="exact"/>
        <w:rPr>
          <w:sz w:val="20"/>
          <w:szCs w:val="20"/>
          <w:color w:val="auto"/>
        </w:rPr>
      </w:pPr>
    </w:p>
    <w:p>
      <w:pPr>
        <w:jc w:val="center"/>
        <w:ind w:right="-291"/>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32"/>
          </w:cols>
          <w:pgMar w:left="328" w:top="904" w:right="639" w:bottom="1440" w:gutter="0" w:footer="0" w:header="0"/>
        </w:sectPr>
      </w:pPr>
    </w:p>
    <w:bookmarkStart w:id="41" w:name="page42"/>
    <w:bookmarkEnd w:id="41"/>
    <w:p>
      <w:pPr>
        <w:jc w:val="center"/>
        <w:ind w:right="-1120"/>
        <w:spacing w:after="0"/>
        <w:rPr>
          <w:sz w:val="20"/>
          <w:szCs w:val="20"/>
          <w:color w:val="auto"/>
        </w:rPr>
      </w:pPr>
      <w:r>
        <w:rPr>
          <w:rFonts w:ascii="Times New Roman" w:cs="Times New Roman" w:eastAsia="Times New Roman" w:hAnsi="Times New Roman"/>
          <w:sz w:val="18"/>
          <w:szCs w:val="18"/>
          <w:color w:val="auto"/>
        </w:rPr>
        <w:t>SCHEDULE B-2</w:t>
      </w:r>
    </w:p>
    <w:p>
      <w:pPr>
        <w:spacing w:after="0" w:line="225" w:lineRule="exact"/>
        <w:rPr>
          <w:sz w:val="20"/>
          <w:szCs w:val="20"/>
          <w:color w:val="auto"/>
        </w:rPr>
      </w:pPr>
    </w:p>
    <w:p>
      <w:pPr>
        <w:jc w:val="right"/>
        <w:ind w:right="2639"/>
        <w:spacing w:after="0"/>
        <w:rPr>
          <w:sz w:val="20"/>
          <w:szCs w:val="20"/>
          <w:color w:val="auto"/>
        </w:rPr>
      </w:pPr>
      <w:r>
        <w:rPr>
          <w:rFonts w:ascii="Times New Roman" w:cs="Times New Roman" w:eastAsia="Times New Roman" w:hAnsi="Times New Roman"/>
          <w:sz w:val="18"/>
          <w:szCs w:val="18"/>
          <w:u w:val="single" w:color="auto"/>
          <w:color w:val="auto"/>
        </w:rPr>
        <w:t>List of Written Testing-the-Waters Communications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9"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color w:val="auto"/>
        </w:rPr>
        <w:t>FORM OF PRE-FUNDED WARRANT</w:t>
      </w:r>
    </w:p>
    <w:p>
      <w:pPr>
        <w:spacing w:after="0" w:line="200" w:lineRule="exact"/>
        <w:rPr>
          <w:sz w:val="20"/>
          <w:szCs w:val="20"/>
          <w:color w:val="auto"/>
        </w:rPr>
      </w:pPr>
    </w:p>
    <w:p>
      <w:pPr>
        <w:spacing w:after="0" w:line="24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MOONLAKE IMMUNOTHERAPEUTICS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PRE-FUNDED WARRANT TO PURCHASE CLASS A ORDINARY SHARES</w:t>
      </w:r>
    </w:p>
    <w:p>
      <w:pPr>
        <w:spacing w:after="0" w:line="229" w:lineRule="exact"/>
        <w:rPr>
          <w:sz w:val="20"/>
          <w:szCs w:val="20"/>
          <w:color w:val="auto"/>
        </w:rPr>
      </w:pPr>
    </w:p>
    <w:p>
      <w:pPr>
        <w:ind w:left="9600"/>
        <w:spacing w:after="0"/>
        <w:rPr>
          <w:sz w:val="20"/>
          <w:szCs w:val="20"/>
          <w:color w:val="auto"/>
        </w:rPr>
      </w:pPr>
      <w:r>
        <w:rPr>
          <w:rFonts w:ascii="Times New Roman" w:cs="Times New Roman" w:eastAsia="Times New Roman" w:hAnsi="Times New Roman"/>
          <w:sz w:val="18"/>
          <w:szCs w:val="18"/>
          <w:color w:val="auto"/>
        </w:rPr>
        <w:t>Number of Shares: [●]</w:t>
      </w:r>
    </w:p>
    <w:p>
      <w:pPr>
        <w:spacing w:after="0" w:line="27" w:lineRule="exact"/>
        <w:rPr>
          <w:sz w:val="20"/>
          <w:szCs w:val="20"/>
          <w:color w:val="auto"/>
        </w:rPr>
      </w:pPr>
    </w:p>
    <w:p>
      <w:pPr>
        <w:ind w:left="9600"/>
        <w:spacing w:after="0"/>
        <w:rPr>
          <w:sz w:val="20"/>
          <w:szCs w:val="20"/>
          <w:color w:val="auto"/>
        </w:rPr>
      </w:pPr>
      <w:r>
        <w:rPr>
          <w:rFonts w:ascii="Times New Roman" w:cs="Times New Roman" w:eastAsia="Times New Roman" w:hAnsi="Times New Roman"/>
          <w:sz w:val="17"/>
          <w:szCs w:val="17"/>
          <w:color w:val="auto"/>
        </w:rPr>
        <w:t>(subject to adjustment)</w:t>
      </w:r>
    </w:p>
    <w:p>
      <w:pPr>
        <w:spacing w:after="0" w:line="218" w:lineRule="exact"/>
        <w:rPr>
          <w:sz w:val="20"/>
          <w:szCs w:val="20"/>
          <w:color w:val="auto"/>
        </w:rPr>
      </w:pPr>
    </w:p>
    <w:p>
      <w:pPr>
        <w:spacing w:after="0"/>
        <w:tabs>
          <w:tab w:leader="none" w:pos="8680" w:val="left"/>
        </w:tabs>
        <w:rPr>
          <w:sz w:val="20"/>
          <w:szCs w:val="20"/>
          <w:color w:val="auto"/>
        </w:rPr>
      </w:pPr>
      <w:r>
        <w:rPr>
          <w:rFonts w:ascii="Times New Roman" w:cs="Times New Roman" w:eastAsia="Times New Roman" w:hAnsi="Times New Roman"/>
          <w:sz w:val="18"/>
          <w:szCs w:val="18"/>
          <w:color w:val="auto"/>
        </w:rPr>
        <w:t>Warrant No. [●]</w:t>
      </w:r>
      <w:r>
        <w:rPr>
          <w:sz w:val="20"/>
          <w:szCs w:val="20"/>
          <w:color w:val="auto"/>
        </w:rPr>
        <w:tab/>
      </w:r>
      <w:r>
        <w:rPr>
          <w:rFonts w:ascii="Times New Roman" w:cs="Times New Roman" w:eastAsia="Times New Roman" w:hAnsi="Times New Roman"/>
          <w:sz w:val="18"/>
          <w:szCs w:val="18"/>
          <w:color w:val="auto"/>
        </w:rPr>
        <w:t>Original Issue Date: June 25, 2026</w:t>
      </w:r>
    </w:p>
    <w:p>
      <w:pPr>
        <w:spacing w:after="0" w:line="2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MoonLake Immunotherapeutics, a Cayman Islands exempted company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certifies that, for good and valuable consideration, the receipt and sufficiency of which are hereby acknowledged, [●] or its permitted registered assigns (the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is entitled, subject to the terms set forth below, to purchase from the Company up to a total of [●] Class A ordinary shares, $0.0001 par value per share (the “</w:t>
      </w:r>
      <w:r>
        <w:rPr>
          <w:rFonts w:ascii="Times New Roman" w:cs="Times New Roman" w:eastAsia="Times New Roman" w:hAnsi="Times New Roman"/>
          <w:sz w:val="18"/>
          <w:szCs w:val="18"/>
          <w:b w:val="1"/>
          <w:bCs w:val="1"/>
          <w:color w:val="auto"/>
        </w:rPr>
        <w:t>Class A Ordinary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of the Company (each such share, a “</w:t>
      </w:r>
      <w:r>
        <w:rPr>
          <w:rFonts w:ascii="Times New Roman" w:cs="Times New Roman" w:eastAsia="Times New Roman" w:hAnsi="Times New Roman"/>
          <w:sz w:val="18"/>
          <w:szCs w:val="18"/>
          <w:b w:val="1"/>
          <w:bCs w:val="1"/>
          <w:color w:val="auto"/>
        </w:rPr>
        <w:t>Warrant Share</w:t>
      </w:r>
      <w:r>
        <w:rPr>
          <w:rFonts w:ascii="Times New Roman" w:cs="Times New Roman" w:eastAsia="Times New Roman" w:hAnsi="Times New Roman"/>
          <w:sz w:val="18"/>
          <w:szCs w:val="18"/>
          <w:color w:val="auto"/>
        </w:rPr>
        <w:t>” and all such shares, the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at an exercise price per share equal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$0.0001 per share (as adjusted from time to time as provided in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herein, the “</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upon surrender of this Pre-Funded Warrant to Purchase Class A Ordinary Shares (including any Pre-Funded Warrants to Purchase Class A Ordinary Shares issued in exchange, transfer or replacement hereof, the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at any time and from time to time on or after the date hereof (the “</w:t>
      </w:r>
      <w:r>
        <w:rPr>
          <w:rFonts w:ascii="Times New Roman" w:cs="Times New Roman" w:eastAsia="Times New Roman" w:hAnsi="Times New Roman"/>
          <w:sz w:val="18"/>
          <w:szCs w:val="18"/>
          <w:b w:val="1"/>
          <w:bCs w:val="1"/>
          <w:color w:val="auto"/>
        </w:rPr>
        <w:t>Original Issue Date</w:t>
      </w:r>
      <w:r>
        <w:rPr>
          <w:rFonts w:ascii="Times New Roman" w:cs="Times New Roman" w:eastAsia="Times New Roman" w:hAnsi="Times New Roman"/>
          <w:sz w:val="18"/>
          <w:szCs w:val="18"/>
          <w:color w:val="auto"/>
        </w:rPr>
        <w:t>”), and subject to the following terms and conditions: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 DEFINITIONS</w:t>
      </w:r>
      <w:r>
        <w:rPr>
          <w:rFonts w:ascii="Times New Roman" w:cs="Times New Roman" w:eastAsia="Times New Roman" w:hAnsi="Times New Roman"/>
          <w:sz w:val="18"/>
          <w:szCs w:val="18"/>
          <w:color w:val="auto"/>
        </w:rPr>
        <w:t>. For purposes of this Warrant, the following terms shall have the following meanings:</w:t>
      </w:r>
    </w:p>
    <w:p>
      <w:pPr>
        <w:spacing w:after="0" w:line="225" w:lineRule="exact"/>
        <w:rPr>
          <w:sz w:val="20"/>
          <w:szCs w:val="20"/>
          <w:color w:val="auto"/>
        </w:rPr>
      </w:pPr>
    </w:p>
    <w:p>
      <w:pPr>
        <w:jc w:val="both"/>
        <w:ind w:firstLine="1304"/>
        <w:spacing w:after="0" w:line="256" w:lineRule="auto"/>
        <w:tabs>
          <w:tab w:leader="none" w:pos="1541"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any Person directly or indirectly controlled by, controlling, or under common control with, a Holder, but only for so long as such control shall continue. For purposes of this definition, “control” (including, with correlative meanings, “controlled by,” “controlling” and “under common control with”) means, with respect to a Person, possession, direct or indirect, of (a) the power to direct or cause direction of the management and policies of such Person (whether through ownership of securities or partnership or other ownership interests, by contract or otherwise), or</w:t>
      </w:r>
    </w:p>
    <w:p>
      <w:pPr>
        <w:spacing w:after="0" w:line="3" w:lineRule="exact"/>
        <w:rPr>
          <w:rFonts w:ascii="Times New Roman" w:cs="Times New Roman" w:eastAsia="Times New Roman" w:hAnsi="Times New Roman"/>
          <w:sz w:val="18"/>
          <w:szCs w:val="18"/>
          <w:color w:val="auto"/>
        </w:rPr>
      </w:pPr>
    </w:p>
    <w:p>
      <w:pPr>
        <w:ind w:right="20" w:firstLine="8"/>
        <w:spacing w:after="0" w:line="260" w:lineRule="auto"/>
        <w:tabs>
          <w:tab w:leader="none" w:pos="27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50% of the voting securities (whether directly or pursuant to any option, warrant, or other similar arrangement) or other comparable equity interests.</w:t>
      </w:r>
    </w:p>
    <w:p>
      <w:pPr>
        <w:spacing w:after="0" w:line="177" w:lineRule="exact"/>
        <w:rPr>
          <w:rFonts w:ascii="Times New Roman" w:cs="Times New Roman" w:eastAsia="Times New Roman" w:hAnsi="Times New Roman"/>
          <w:sz w:val="18"/>
          <w:szCs w:val="18"/>
          <w:color w:val="auto"/>
        </w:rPr>
      </w:pPr>
    </w:p>
    <w:p>
      <w:pPr>
        <w:jc w:val="both"/>
        <w:ind w:firstLine="1304"/>
        <w:spacing w:after="0" w:line="257" w:lineRule="auto"/>
        <w:tabs>
          <w:tab w:leader="none" w:pos="156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Attribution Parties</w:t>
      </w:r>
      <w:r>
        <w:rPr>
          <w:rFonts w:ascii="Times New Roman" w:cs="Times New Roman" w:eastAsia="Times New Roman" w:hAnsi="Times New Roman"/>
          <w:sz w:val="18"/>
          <w:szCs w:val="18"/>
          <w:color w:val="auto"/>
        </w:rPr>
        <w:t>” means, collectively, the following persons and entities: (i) any direct or indirect Affiliates of the Holder, (ii) any investment vehicle, including, any funds, feeder funds or managed accounts, currently, or from time to time after the date hereof, directly or indirectly managed or advised by the Holder’s investment manager, (iii) any Person acting or who could be deemed to be acting as a Group together with the Holder or any Attribution Parties and (iv) any other Persons whose beneficial ownership of the Company’s Class A Ordinary Shares would or could be aggregated with the Holder’s and/or any other Attribution Parties for purposes of Section 13(d) or Section 16 of the Exchange Act. For clarity, the purpose of the foregoing is to subject collectively the Holder and all other Attribution Parties to the Maximum Percentage.</w:t>
      </w:r>
    </w:p>
    <w:p>
      <w:pPr>
        <w:spacing w:after="0" w:line="182"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means the U.S. Securities and Exchange Commission.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4" w:name="page45"/>
    <w:bookmarkEnd w:id="44"/>
    <w:p>
      <w:pPr>
        <w:ind w:left="1560" w:hanging="256"/>
        <w:spacing w:after="0"/>
        <w:tabs>
          <w:tab w:leader="none" w:pos="15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U.S. Securities Exchange Act of 1934, as amended.</w:t>
      </w:r>
    </w:p>
    <w:p>
      <w:pPr>
        <w:spacing w:after="0" w:line="225"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Group</w:t>
      </w:r>
      <w:r>
        <w:rPr>
          <w:rFonts w:ascii="Times New Roman" w:cs="Times New Roman" w:eastAsia="Times New Roman" w:hAnsi="Times New Roman"/>
          <w:sz w:val="18"/>
          <w:szCs w:val="18"/>
          <w:color w:val="auto"/>
        </w:rPr>
        <w:t>” shall have the meaning ascribed to it in Section 13(d) of the Exchange Act, and all related rules, regulations and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jurisprudence.</w:t>
      </w:r>
    </w:p>
    <w:p>
      <w:pPr>
        <w:spacing w:after="0" w:line="203" w:lineRule="exact"/>
        <w:rPr>
          <w:sz w:val="20"/>
          <w:szCs w:val="20"/>
          <w:color w:val="auto"/>
        </w:rPr>
      </w:pPr>
    </w:p>
    <w:p>
      <w:pPr>
        <w:ind w:firstLine="1304"/>
        <w:spacing w:after="0" w:line="286" w:lineRule="auto"/>
        <w:tabs>
          <w:tab w:leader="none" w:pos="152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Principal Trading Market</w:t>
      </w:r>
      <w:r>
        <w:rPr>
          <w:rFonts w:ascii="Times New Roman" w:cs="Times New Roman" w:eastAsia="Times New Roman" w:hAnsi="Times New Roman"/>
          <w:sz w:val="18"/>
          <w:szCs w:val="18"/>
          <w:color w:val="auto"/>
        </w:rPr>
        <w:t>” means the national securities exchange or other trading market on which the Class A Ordinary Shares are primarily listed and quoted for trading, which, as of the Original Issue Date, shall be the Nasdaq Capital Market.</w:t>
      </w:r>
    </w:p>
    <w:p>
      <w:pPr>
        <w:spacing w:after="0" w:line="154" w:lineRule="exact"/>
        <w:rPr>
          <w:rFonts w:ascii="Times New Roman" w:cs="Times New Roman" w:eastAsia="Times New Roman" w:hAnsi="Times New Roman"/>
          <w:sz w:val="18"/>
          <w:szCs w:val="18"/>
          <w:color w:val="auto"/>
        </w:rPr>
      </w:pPr>
    </w:p>
    <w:p>
      <w:pPr>
        <w:ind w:firstLine="1304"/>
        <w:spacing w:after="0" w:line="286" w:lineRule="auto"/>
        <w:tabs>
          <w:tab w:leader="none" w:pos="156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means the Company’s registration statement on Form S-3 (File No. 333-274286), which was filed on August 31, 2023 and became effective on September 11, 2023.</w:t>
      </w:r>
    </w:p>
    <w:p>
      <w:pPr>
        <w:spacing w:after="0" w:line="154"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U.S. Securities Act of 1933, as amended.</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any weekday on which the Principal Trading Market is open for trading.</w:t>
      </w:r>
    </w:p>
    <w:p>
      <w:pPr>
        <w:spacing w:after="0" w:line="225" w:lineRule="exact"/>
        <w:rPr>
          <w:rFonts w:ascii="Times New Roman" w:cs="Times New Roman" w:eastAsia="Times New Roman" w:hAnsi="Times New Roman"/>
          <w:sz w:val="18"/>
          <w:szCs w:val="18"/>
          <w:color w:val="auto"/>
        </w:rPr>
      </w:pPr>
    </w:p>
    <w:p>
      <w:pPr>
        <w:ind w:firstLine="1304"/>
        <w:spacing w:after="0" w:line="286" w:lineRule="auto"/>
        <w:tabs>
          <w:tab w:leader="none" w:pos="151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means Continental Stock Transfer and Trust Company, the Company’s transfer agent and registrar for the Class A Ordinary Shares, and any successor appointed in such capacity.</w:t>
      </w:r>
    </w:p>
    <w:p>
      <w:pPr>
        <w:spacing w:after="0" w:line="154"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6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VWAP</w:t>
      </w:r>
      <w:r>
        <w:rPr>
          <w:rFonts w:ascii="Times New Roman" w:cs="Times New Roman" w:eastAsia="Times New Roman" w:hAnsi="Times New Roman"/>
          <w:sz w:val="18"/>
          <w:szCs w:val="18"/>
          <w:color w:val="auto"/>
        </w:rPr>
        <w:t>” means, for any date, the price determined by the first of the following clauses that applies: (i) if the Class A Ordinary Shares then listed or quoted on a national securities exchange or other trading market, the daily volume weighted average price of the Class A Ordinary Shares for such date (or the nearest preceding date) on the Principal Trading Market as reported by Bloomberg L.P. (based on a Trading Day from 9:30 a.m. (New York City time) to 4:02 p.m. (New York City time)), (ii) if the Class A Ordinary Shares then listed or quoted for trading and neither OTCQB nor OTCQX is the Principal Trading Market, the volume weighted average price of the Class A Ordinary Shares for such date (or the nearest preceding date) on OTCQB or OTCQX, as applicable, (iii) if the Class A Ordinary Shares not then listed or quoted for trading on OTCQB or OTCQX and if prices for the Class A Ordinary Shares are then reported in the “</w:t>
      </w:r>
      <w:r>
        <w:rPr>
          <w:rFonts w:ascii="Times New Roman" w:cs="Times New Roman" w:eastAsia="Times New Roman" w:hAnsi="Times New Roman"/>
          <w:sz w:val="18"/>
          <w:szCs w:val="18"/>
          <w:b w:val="1"/>
          <w:bCs w:val="1"/>
          <w:color w:val="auto"/>
        </w:rPr>
        <w:t>Pink Sheets</w:t>
      </w:r>
      <w:r>
        <w:rPr>
          <w:rFonts w:ascii="Times New Roman" w:cs="Times New Roman" w:eastAsia="Times New Roman" w:hAnsi="Times New Roman"/>
          <w:sz w:val="18"/>
          <w:szCs w:val="18"/>
          <w:color w:val="auto"/>
        </w:rPr>
        <w:t>” published by OTC Markets Group, Inc. (or a similar organization or agency succeeding to its functions of reporting prices), the most recent bid price per share of the Class A Ordinary Shares so reported, or (iv) in all other cases, the fair market value of a Class A Ordinary Share as determined by an independent appraiser selected in good faith by the Holder and reasonably acceptable to the Company, the fees and expenses of which shall be paid by the Company.</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2 ISSUANCE OF SECURITIES; REGISTRATION OF WARRANTS</w:t>
      </w:r>
      <w:r>
        <w:rPr>
          <w:rFonts w:ascii="Times New Roman" w:cs="Times New Roman" w:eastAsia="Times New Roman" w:hAnsi="Times New Roman"/>
          <w:sz w:val="18"/>
          <w:szCs w:val="18"/>
          <w:color w:val="auto"/>
        </w:rPr>
        <w:t>. The Warrant, as initially issued by the Company, is offered and sold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the Registration Statement. As of the Original Issue Date, the Warrant Shares are issuable under the Registration Statement. Accordingly, the Warrant and, assuming issuance pursuant to the Registration Statement or an exchange meeting the requirements of Section 3(a)(9) of the Exchange Act as in effect on the Original Issue Date, the Warrant Shares, are not “restricted securities” under Rule 144 promulgated under the Securities Act. The Company shall register this Warrant, upon records to be maintained by or on behalf of the Company for that purpose (the “</w:t>
      </w:r>
      <w:r>
        <w:rPr>
          <w:rFonts w:ascii="Times New Roman" w:cs="Times New Roman" w:eastAsia="Times New Roman" w:hAnsi="Times New Roman"/>
          <w:sz w:val="18"/>
          <w:szCs w:val="18"/>
          <w:b w:val="1"/>
          <w:bCs w:val="1"/>
          <w:color w:val="auto"/>
        </w:rPr>
        <w:t>Warrant Register</w:t>
      </w:r>
      <w:r>
        <w:rPr>
          <w:rFonts w:ascii="Times New Roman" w:cs="Times New Roman" w:eastAsia="Times New Roman" w:hAnsi="Times New Roman"/>
          <w:sz w:val="18"/>
          <w:szCs w:val="18"/>
          <w:color w:val="auto"/>
        </w:rPr>
        <w:t>”), in the name of the record Holder (which shall include the initial Holder or, as the case may be, any registered assignee to which this Warrant is permissibly assigned hereunder)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5" w:name="page46"/>
    <w:bookmarkEnd w:id="45"/>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3 REGISTRATION OF TRANSFERS</w:t>
      </w:r>
      <w:r>
        <w:rPr>
          <w:rFonts w:ascii="Times New Roman" w:cs="Times New Roman" w:eastAsia="Times New Roman" w:hAnsi="Times New Roman"/>
          <w:sz w:val="18"/>
          <w:szCs w:val="18"/>
          <w:color w:val="auto"/>
        </w:rPr>
        <w:t>. Subject to compliance with all applicable securities laws, the Company shall, or will cause its 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 to, register the transfer of all or any portion of this Warrant in the Warrant Register, upon surrender of this Warrant, and payment for all applicable transfer taxes (if any). Upon any such registration or transfer, a new warrant to purchase Class A Ordinary Shares in substantially the form of this Warrant (any such new warrant, a “</w:t>
      </w:r>
      <w:r>
        <w:rPr>
          <w:rFonts w:ascii="Times New Roman" w:cs="Times New Roman" w:eastAsia="Times New Roman" w:hAnsi="Times New Roman"/>
          <w:sz w:val="18"/>
          <w:szCs w:val="18"/>
          <w:b w:val="1"/>
          <w:bCs w:val="1"/>
          <w:color w:val="auto"/>
        </w:rPr>
        <w:t>New Warrant</w:t>
      </w:r>
      <w:r>
        <w:rPr>
          <w:rFonts w:ascii="Times New Roman" w:cs="Times New Roman" w:eastAsia="Times New Roman" w:hAnsi="Times New Roman"/>
          <w:sz w:val="18"/>
          <w:szCs w:val="18"/>
          <w:color w:val="auto"/>
        </w:rPr>
        <w:t xml:space="preserve">”) evidencing the portion of this Warrant so transferred shall be issued to the transferee, and a New Warrant evidencing the remaining portion of this Warrant not so transferred, if any, shall be issued to the transferring Holder. The acceptance of the New Warrant by the transferee thereof shall be deemed the acceptance by such transferee of all of the rights and obligations in respect of the New Warrant that the Holder has in respect of this Warrant. The Company shall, or will cause its Transfer Agent to, prepare, issue, and deliver at the Company’s own expense any New Warrant under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Until due presentment for registration of transfer, the Company may treat the registered Holder hereof as the owner and holder of this Warrant for all purposes, and the Company shall not be affected by any notice to the contrary.</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4 EXERCISE AND DURATION OF WARRANTS</w:t>
      </w:r>
    </w:p>
    <w:p>
      <w:pPr>
        <w:spacing w:after="0" w:line="225" w:lineRule="exact"/>
        <w:rPr>
          <w:sz w:val="20"/>
          <w:szCs w:val="20"/>
          <w:color w:val="auto"/>
        </w:rPr>
      </w:pPr>
    </w:p>
    <w:p>
      <w:pPr>
        <w:ind w:right="20" w:firstLine="1304"/>
        <w:spacing w:after="0" w:line="286" w:lineRule="auto"/>
        <w:tabs>
          <w:tab w:leader="none" w:pos="153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or any part of this Warrant shall be exercisable by the registered Holder in any manner permitted by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this Warrant at any time and from time to time on or after the Original Issue Date.</w:t>
      </w:r>
    </w:p>
    <w:p>
      <w:pPr>
        <w:spacing w:after="0" w:line="158"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5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Holder may exercise this Warrant by delivering to the Company (i) an exercise notice, in the form attached as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b w:val="1"/>
          <w:bCs w:val="1"/>
          <w:color w:val="auto"/>
        </w:rPr>
        <w:t>Exercise Notice</w:t>
      </w:r>
      <w:r>
        <w:rPr>
          <w:rFonts w:ascii="Times New Roman" w:cs="Times New Roman" w:eastAsia="Times New Roman" w:hAnsi="Times New Roman"/>
          <w:sz w:val="18"/>
          <w:szCs w:val="18"/>
          <w:color w:val="auto"/>
        </w:rPr>
        <w:t xml:space="preserve">”), completed and duly signed, and (ii) payment of the Exercise Price for the number of Warrant Shares as to which this Warrant is being exercised (which may take the form of a “cashless exercise” if so indicated in the Exercise Notice pursuant to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below), and the date on which the last of such items is delivered to the Company (as determined in accordance with the notice provisions hereof) is an “</w:t>
      </w:r>
      <w:r>
        <w:rPr>
          <w:rFonts w:ascii="Times New Roman" w:cs="Times New Roman" w:eastAsia="Times New Roman" w:hAnsi="Times New Roman"/>
          <w:sz w:val="18"/>
          <w:szCs w:val="18"/>
          <w:b w:val="1"/>
          <w:bCs w:val="1"/>
          <w:color w:val="auto"/>
        </w:rPr>
        <w:t>Exercise Date.</w:t>
      </w:r>
      <w:r>
        <w:rPr>
          <w:rFonts w:ascii="Times New Roman" w:cs="Times New Roman" w:eastAsia="Times New Roman" w:hAnsi="Times New Roman"/>
          <w:sz w:val="18"/>
          <w:szCs w:val="18"/>
          <w:color w:val="auto"/>
        </w:rPr>
        <w:t>” The Holder shall not be required to deliver the original Warrant in order to effect an exercise hereunder. Execution and delivery of the Exercise Notice shall have the same effect as cancellation of the original Warrant and issuance of a New Warrant evidencing the right to purchase the remaining number of Warrant Shares, if any.</w:t>
      </w:r>
    </w:p>
    <w:p>
      <w:pPr>
        <w:spacing w:after="0" w:line="185" w:lineRule="exact"/>
        <w:rPr>
          <w:sz w:val="20"/>
          <w:szCs w:val="20"/>
          <w:color w:val="auto"/>
        </w:rPr>
      </w:pPr>
    </w:p>
    <w:p>
      <w:pPr>
        <w:ind w:left="800" w:hanging="144"/>
        <w:spacing w:after="0"/>
        <w:tabs>
          <w:tab w:leader="none" w:pos="80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DELIVERY OF WARRANT SHARES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firstLine="1304"/>
        <w:spacing w:after="0" w:line="253" w:lineRule="auto"/>
        <w:tabs>
          <w:tab w:leader="none" w:pos="1549"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exercise of this Warrant, the Company shall promptly (but in no event later than one (1) Trading Day after the Exercise Date), upon the request of the Holder, credit such aggregate number of Class A Ordinary Shares to which the Holder is entitled pursuant to such exercise to the Holder’s or its designee’s balance account with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through its Deposit Withdrawal Agent Commission system, or if the Transfer Agent is not participating in the Fast Automated Securities Transfer Program or if the certificates or book entry position are required to bear a legend regarding restriction on transferability, issue and dispatch by overnight courier to the address as specified in the Exercise Notice, a certificate or book entry position, registered in the Company’s share register in the name of the Holder or its designee, for the number of Class A Ordinary Shares to which the Holder is entitled pursuant to such exercise. The Holder, or any natural person or legal entity (each, a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permissibly so designated by the Holder to receive Warrant Shares, shall be deemed to have become the holder of record of such Warrant Shares as of the Exercise Date, irrespective of the date such Warrant Shares are credited to the Holder’s DTC account or the date of delivery of the certificates or book entry position evidencing such Warrant Shares, as the case may be.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6" w:name="page47"/>
    <w:bookmarkEnd w:id="46"/>
    <w:p>
      <w:pPr>
        <w:jc w:val="both"/>
        <w:ind w:firstLine="1304"/>
        <w:spacing w:after="0" w:line="252" w:lineRule="auto"/>
        <w:tabs>
          <w:tab w:leader="none" w:pos="155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the close of the first Trading Day after the Exercise Date, the Company fails to credit the Holder’s balance account with DTC for such number of Warrant Shares to which the Holder is entitled, and if after such first Trading Day and prior to the receipt of such Warrant Shares, the Holder purchases (in an open market transaction, provided such purchases shall be made in a commercially reasonable manner at prevailing market prices) Class A Ordinary Shares to deliver in satisfaction of a sale by the Holder of the Warrant Shares which the Holder anticipated receiving upon such exercise (a “</w:t>
      </w:r>
      <w:r>
        <w:rPr>
          <w:rFonts w:ascii="Times New Roman" w:cs="Times New Roman" w:eastAsia="Times New Roman" w:hAnsi="Times New Roman"/>
          <w:sz w:val="18"/>
          <w:szCs w:val="18"/>
          <w:b w:val="1"/>
          <w:bCs w:val="1"/>
          <w:color w:val="auto"/>
        </w:rPr>
        <w:t>Buy-In</w:t>
      </w:r>
      <w:r>
        <w:rPr>
          <w:rFonts w:ascii="Times New Roman" w:cs="Times New Roman" w:eastAsia="Times New Roman" w:hAnsi="Times New Roman"/>
          <w:sz w:val="18"/>
          <w:szCs w:val="18"/>
          <w:color w:val="auto"/>
        </w:rPr>
        <w:t xml:space="preserve">”), then the Company shall, within two Trading Days after the Holder’s request, in the Holder’s sole discretion, either (i) pay in cash to the Holder an amount equal to the Holder’s total purchase price (including commercially reasonable brokerage commissions, if any) for the Class A Ordinary Shares so purchased, at which point the Company’s obligation to deliver such Warrant Shares shall terminate, or (ii) (A) pay in cash to the Holder the amount, if any, by which (1) the Holder’s total purchase price (including commercially reasonable brokerage commissions, if any) for the Class A Ordinary Shares purchased in the Buy-In exceeds (2) the product of (x) the number of Warrant Shares that the Company was required to deliver to the Holder in connection with the exercise at issue, times (y) the price at which the sell order giving rise to such purchase obligation was executed (assuming such sale was executed on commercially reasonable terms at prevailing market prices and, if the sale was executed in multiple transactions, the volume weighted average price), and (B) at the option of the Holder, either (1) reinstate the portion of the Warrant and equivalent number of Warrant Shares for which such exercise was not honored (in which case such exercise shall be deemed rescinded) or (2) deliver to the Holder the number of Class A Ordinary Shares that would have been issued had the Company timely complied with its exercise and delivery obligations hereunder. The provisions of this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shall be the only remedy available to the Holder in the event the Company fails to deliver to the Holder the required number of Warrant Shares in the manner required pursuant to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a Buy-In occurs. Irrespective of whether there is a Buy-In, no remedy shall be available, notwithstanding the requirements of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unless and until the Company fails to deliver to the Holder the required number of Warrant Shares by the close of the first Trading Day after the Exercise Date.</w:t>
      </w:r>
    </w:p>
    <w:p>
      <w:pPr>
        <w:spacing w:after="0" w:line="187"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7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permitted by law and subject to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Company’s obligations to issue and deliver Warrant Shares in accordance with and subject to the terms hereof (including the limitations set forth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below)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or any breach or alleged breach by the Holder or any other Person of any obligation to the Company or any violation or alleged violation of law by the Holder or any other Person, and irrespective of any other circumstance that might otherwise limit such obligation of the Company to the Holder in connection with the issuance of Warrant Shares. Subject to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nothing herein shall limit the Holder’s right to pursue any other remedies available to it hereunder, at law or in equity including, without limitation, a decree of specific performance and/or injunctive relief with respect to the Company’s failure to timely deliver certificates or a book entry position representing Class A Ordinary Shares upon exercise of the Warrant as required pursuant to the terms hereof.</w:t>
      </w:r>
    </w:p>
    <w:p>
      <w:pPr>
        <w:spacing w:after="0" w:line="18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6 CHARGES, TAXES AND EXPENSES</w:t>
      </w:r>
      <w:r>
        <w:rPr>
          <w:rFonts w:ascii="Times New Roman" w:cs="Times New Roman" w:eastAsia="Times New Roman" w:hAnsi="Times New Roman"/>
          <w:sz w:val="18"/>
          <w:szCs w:val="18"/>
          <w:color w:val="auto"/>
        </w:rPr>
        <w:t>. Issuance and delivery of a book entry position for Class A Ordinary Shares upon exercise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 shall be made without charge to the Holder for any issue or transfer tax, transfer agent fee or other incidental tax or expense (excluding any applicable stamp duties) in respect of the issuance of such book entry shares, all of which taxes and expenses shall be paid by the Company; provided, however, that the Company shall not be required to pay any tax that may be payable in respect of any transfer involved in the registration of any certificates for Warrant Shares or the Warrants in a name other than that of the Holder or an Affiliate thereof. The Holder shall be responsible for all other tax liability that may arise as a result of holding or transferring this Warrant or receiving Warrant Shares upon exercise hereof.</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7 REPLACEMENT OF WARRANT</w:t>
      </w:r>
      <w:r>
        <w:rPr>
          <w:rFonts w:ascii="Times New Roman" w:cs="Times New Roman" w:eastAsia="Times New Roman" w:hAnsi="Times New Roman"/>
          <w:sz w:val="18"/>
          <w:szCs w:val="18"/>
          <w:color w:val="auto"/>
        </w:rPr>
        <w:t>. If this Warrant is mutilated, lost, stolen, or destroyed, the Company shall issue or cause to be issued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and substitution for and upon cancellation hereof, or in lieu of and substitution for this Warrant, a New Warrant, but only upon receipt of evidence reasonably satisfactory to the Company of such loss, theft, or destruction (in such case) and, in each case, a customary and reasonable indemnity and surety bond if requested by the Company. Applicants for a New Warrant under such circumstances shall also comply with such other reasonable regulations and procedures and pay such other reasonable third-party costs as the Company may prescribe. If a New Warrant is requested as a result of a mutilation of this Warrant, then the Holder shall deliver such mutilated Warrant to the Company as a condition precedent to the Company’s obligation to issue the New Warrant.</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8 RESERVATION OF WARRANT SHARES</w:t>
      </w:r>
      <w:r>
        <w:rPr>
          <w:rFonts w:ascii="Times New Roman" w:cs="Times New Roman" w:eastAsia="Times New Roman" w:hAnsi="Times New Roman"/>
          <w:sz w:val="18"/>
          <w:szCs w:val="18"/>
          <w:color w:val="auto"/>
        </w:rPr>
        <w:t>. The Company covenants that it will at all times while this Warrant is outstanding reserve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keep available out of the aggregate of its authorized but unissued and otherwise unreserved Class A Ordinary Shares, solely for the purpose of enabling it to issue Warrant Shares upon exercise of this Warrant as herein provided, the number of Warrant Shares that are then issuable and deliverable upon the exercise of this Warrant, free from preemptive rights or any other contingent purchase rights of persons other than the Holder (taking into account the adjustments and restrictions of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The Company covenants that all Warrant Shares so issuable and deliverable shall, upon issuance and the payment of the applicable Exercise Price in accordance with the terms hereof, be duly and validly authorized, issued and fully paid, and nonassessable. The Company will take all such action as may be reasonably necessary to assure that such Class A Ordinary Shares may be issued as provided herein without violation of any applicable law or regulation or of any requirements of any securities exchange or automated quotation system upon which the Class A Ordinary Shares may be listed.</w:t>
      </w:r>
    </w:p>
    <w:p>
      <w:pPr>
        <w:spacing w:after="0" w:line="18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9 CERTAIN ADJUSTMENTS</w:t>
      </w:r>
      <w:r>
        <w:rPr>
          <w:rFonts w:ascii="Times New Roman" w:cs="Times New Roman" w:eastAsia="Times New Roman" w:hAnsi="Times New Roman"/>
          <w:sz w:val="18"/>
          <w:szCs w:val="18"/>
          <w:color w:val="auto"/>
        </w:rPr>
        <w:t>. The number of Warrant Shares issuable upon exercise of this Warrant is subject to adjustment from time to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as set forth in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firstLine="1304"/>
        <w:spacing w:after="0" w:line="253" w:lineRule="auto"/>
        <w:tabs>
          <w:tab w:leader="none" w:pos="1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If the Company, at any time while this Warrant is outstanding, (i) pays a stock dividend on its Class A Ordinary Shares or otherwise makes a distribution on any class of capital stock issued and outstanding on the Original Issue Date and in accordance with the terms of such shares on the Original Issue Date or as amended, that is payable in Class A Ordinary Shares, (ii) subdivides its outstanding Class A Ordinary Shares into a larger number of Class A Ordinary Shares, (iii) combines its outstanding Class A Ordinary Shares into a smaller number of Class A Ordinary Shares or (iv) issues by reclassification of shares of capital stock any additional Class A Ordinary Shares of the Company, then in each such case the number of Warrant Shares then underlying this Warrant shall be divided by a fraction, the numerator of which shall be the number of Class A Ordinary Shares outstanding immediately before such event and the denominator of which shall be the number of Class A Ordinary Shares outstanding immediately after such event. Any adjustment made pursuant to clause (i) of this paragraph shall become effective immediately after the record date for the determination of shareholders entitled to receive such dividend or distribution, provided, however, that if such record date shall have been fixed and such dividend is not fully paid on the date fixed therefor, the number of Warrant Shares shall be recomputed accordingly as of the close of business on such record date and thereafter the Warrant Shares shall be adjusted pursuant to this paragraph as of the time of actual payment of such dividends. Any adjustment pursuant to clause (ii) or (iii) of this paragraph shall become effective immediately after the effective date of such subdivision or combination.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8" w:name="page49"/>
    <w:bookmarkEnd w:id="48"/>
    <w:p>
      <w:pPr>
        <w:jc w:val="both"/>
        <w:ind w:firstLine="1304"/>
        <w:spacing w:after="0" w:line="253" w:lineRule="auto"/>
        <w:tabs>
          <w:tab w:leader="none" w:pos="1551"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If the Company, at any time while this Warrant is outstanding, distributes to all holders of Class A Ordinary Shares for no consideration (i) evidences of its indebtedness, (ii) any security (other than a distribution of Class A Ordinary Shares covered by the preceding paragraph), (iii) rights or warrants to subscribe for or purchase any security, or (iv) cash or any other asset (in each case, “</w:t>
      </w:r>
      <w:r>
        <w:rPr>
          <w:rFonts w:ascii="Times New Roman" w:cs="Times New Roman" w:eastAsia="Times New Roman" w:hAnsi="Times New Roman"/>
          <w:sz w:val="18"/>
          <w:szCs w:val="18"/>
          <w:b w:val="1"/>
          <w:bCs w:val="1"/>
          <w:color w:val="auto"/>
        </w:rPr>
        <w:t>Distributed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then, upon any exercise of this Warrant that occurs after the record date fixed for determination of shareholders entitled to receive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distribution, the Holder shall be entitled to receive, in addition to the Warrant Shares otherwise issuable upon such exercise (if applicable), the Distributed Property that such Holder would have been entitled to receive in respect of such number of Warrant Shares had the Holder been the record holder of such Warrant Shares immediately prior to such record date without regard to any limitation on exercise contained therein; provided, that to the extent that the Holder’s right to participate in any such distribution would result in the Holder and the other Attribution Parties exceeding the Maximum Percentage, then the Holder shall not be entitled to participate in such distribution to such extent (and shall not be entitled to beneficial ownership of such Class A Ordinary Shares as a result of such distribution to such extent) and the portion of such distribution shall be held in abeyance for the benefit of the Holder until such time or times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spacing w:after="0" w:line="187"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67"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If at any time while this Warrant is outstanding, the Company grants, issues or sells any Options, Convertible Securities or rights to purchase shares, warrants, securities or other property, in each case pro rata to the record holders of Class A Ordinary Shares (the “</w:t>
      </w:r>
      <w:r>
        <w:rPr>
          <w:rFonts w:ascii="Times New Roman" w:cs="Times New Roman" w:eastAsia="Times New Roman" w:hAnsi="Times New Roman"/>
          <w:sz w:val="18"/>
          <w:szCs w:val="18"/>
          <w:b w:val="1"/>
          <w:bCs w:val="1"/>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Class A Ordinary Shares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Class A Ordinary Shares are to be determined for the grant, issuance or sale of such Purchase Rights; provided, that to the extent that the Holder’s right to participate in any such Purchase Right would result in the Holder and the other Attribution Parties exceeding the Maximum Percentage, then the Holder shall not be entitled to participate in such Purchase Right to such extent (and shall not be entitled to beneficial ownership of such Class A Ordinary Shares as a result of such Purchase Right (and beneficial ownership) to such extent) and at the Holder’s election, in its sole discretion, either (1) such Purchase Right to such extent shall be held in abeyance for the benefit of the Holder until such time or times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to be held similarly in abeyance) to the same extent as if there had been no such limitation or (2) the Company shall offer the Holder the right upon exercise of such Purchase Right to acquire a security (e.g. a pre-funded warrant) that would not result in the Holder and the other Attribution Parties exceeding the Maximum Percentage but will otherwise to the extent possible have economic and other rights, preferences and privileges substantially consistent and on par with the securities or other property issuable upon exercise of the originally offered Purchase Rights. As used in this Section 9(c), (i) “Options” means any rights, warrants or options to subscribe for or purchase Class A Ordinary Shares or Convertible Securities and (ii) “Convertible Securities” mean any shares or securities (other than Options) directly or indirectly convertible into or exercisable or exchangeable for Class A Ordinary Shares.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jc w:val="both"/>
        <w:ind w:firstLine="1304"/>
        <w:spacing w:after="0" w:line="255" w:lineRule="auto"/>
        <w:tabs>
          <w:tab w:leader="none" w:pos="1551"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Transactions</w:t>
      </w:r>
      <w:r>
        <w:rPr>
          <w:rFonts w:ascii="Times New Roman" w:cs="Times New Roman" w:eastAsia="Times New Roman" w:hAnsi="Times New Roman"/>
          <w:sz w:val="18"/>
          <w:szCs w:val="18"/>
          <w:color w:val="auto"/>
        </w:rPr>
        <w:t>. If, at any time while this Warrant is outstanding (i) the Company effects any merger or consolidation of the Company with or into another Person, in which the Company is not the surviving entity or in which the shareholders of the Company immediately prior to such merger or consolidation do not own, directly or indirectly, at least 50% of the voting power of the surviving entity immediately after such merger or consolidation, (ii) the Company effects any sale to another Person of all or substantially all of its assets in one transaction or a series of related transactions,</w:t>
      </w:r>
    </w:p>
    <w:p>
      <w:pPr>
        <w:spacing w:after="0" w:line="2" w:lineRule="exact"/>
        <w:rPr>
          <w:rFonts w:ascii="Times New Roman" w:cs="Times New Roman" w:eastAsia="Times New Roman" w:hAnsi="Times New Roman"/>
          <w:sz w:val="18"/>
          <w:szCs w:val="18"/>
          <w:color w:val="auto"/>
        </w:rPr>
      </w:pPr>
    </w:p>
    <w:p>
      <w:pPr>
        <w:jc w:val="both"/>
        <w:ind w:firstLine="8"/>
        <w:spacing w:after="0" w:line="250" w:lineRule="auto"/>
        <w:tabs>
          <w:tab w:leader="none" w:pos="32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any tender offer or exchange offer (whether by the Company or another Person), holders of capital stock tender shares representing more than 50% of the voting power of the capital stock of the Company and the Company or such other Person, as applicable, accepts such tender for payment,</w:t>
      </w:r>
    </w:p>
    <w:p>
      <w:pPr>
        <w:jc w:val="both"/>
        <w:ind w:firstLine="8"/>
        <w:spacing w:after="0" w:line="251" w:lineRule="auto"/>
        <w:tabs>
          <w:tab w:leader="none" w:pos="30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consummates a stock purchase agreement or other business combination (including, without limitation, a reorganization, recapitalization, spin-off or scheme of arrangement) with another Person whereby such other Person acquires more than 50% of the voting power of the capital stock of the Company (except for any such transaction in which the shareholders of the Company immediately prior to such transaction maintain, in substantially the same proportions, the voting power of such Person immediately after the transaction) or (v) the Company effects any reclassification of the Class A Ordinary Shares or any compulsory share exchange pursuant to which the Class A Ordinary Shares are effectively converted into or exchanged for other securities, cash or property (other than as a result of a subdivision or combination of Class A Ordinary Shares covered by </w:t>
      </w:r>
      <w:r>
        <w:rPr>
          <w:rFonts w:ascii="Times New Roman" w:cs="Times New Roman" w:eastAsia="Times New Roman" w:hAnsi="Times New Roman"/>
          <w:sz w:val="18"/>
          <w:szCs w:val="18"/>
          <w:u w:val="single" w:color="auto"/>
          <w:color w:val="auto"/>
        </w:rPr>
        <w:t>Section 9(a)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above) (in any such case, a “</w:t>
      </w:r>
      <w:r>
        <w:rPr>
          <w:rFonts w:ascii="Times New Roman" w:cs="Times New Roman" w:eastAsia="Times New Roman" w:hAnsi="Times New Roman"/>
          <w:sz w:val="18"/>
          <w:szCs w:val="18"/>
          <w:b w:val="1"/>
          <w:bCs w:val="1"/>
          <w:color w:val="auto"/>
        </w:rPr>
        <w:t>Fundamental Transaction</w:t>
      </w:r>
      <w:r>
        <w:rPr>
          <w:rFonts w:ascii="Times New Roman" w:cs="Times New Roman" w:eastAsia="Times New Roman" w:hAnsi="Times New Roman"/>
          <w:sz w:val="18"/>
          <w:szCs w:val="18"/>
          <w:color w:val="auto"/>
        </w:rPr>
        <w:t>”), then following such Fundamental Transaction the Holder shall have the right to receive, upon exercise of this Warrant, the same amount and kind of securities, cash or property as it would have been entitled to receive upon the occurrence of such Fundamental Transaction if it had been, immediately prior to such Fundamental Transaction, the holder of the number of Warrant Shares then issuable upon exercise in full of this Warrant without regard to any limitations on exercise contained herein (the “</w:t>
      </w:r>
      <w:r>
        <w:rPr>
          <w:rFonts w:ascii="Times New Roman" w:cs="Times New Roman" w:eastAsia="Times New Roman" w:hAnsi="Times New Roman"/>
          <w:sz w:val="18"/>
          <w:szCs w:val="18"/>
          <w:b w:val="1"/>
          <w:bCs w:val="1"/>
          <w:color w:val="auto"/>
        </w:rPr>
        <w:t>Alternate Consideration</w:t>
      </w:r>
      <w:r>
        <w:rPr>
          <w:rFonts w:ascii="Times New Roman" w:cs="Times New Roman" w:eastAsia="Times New Roman" w:hAnsi="Times New Roman"/>
          <w:sz w:val="18"/>
          <w:szCs w:val="18"/>
          <w:color w:val="auto"/>
        </w:rPr>
        <w:t xml:space="preserve">”). The Company shall not effect any Fundamental Transaction in which the Company is not the surviving entity or the Alternate Consideration includes securities of another Person unless (x) the Alternate Consideration is solely cash and the Company provides for the simultaneous “cashless exercise” of this Warrant pursuant to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below or (y) prior to, simultaneously with or promptly following the consummation thereof, any successor to the Company, surviving entity or other Person (including any purchaser of assets of the Company) shall assume the obligation to deliver to the Holder, such Alternate Consideration as, in accordance with the foregoing provisions, the Holder may be entitled to receive, and the other obligations under this Warrant. The provisions of this paragraph (d) shall similarly apply to subsequent transactions analogous to a Fundamental Transaction type.</w:t>
      </w:r>
    </w:p>
    <w:p>
      <w:pPr>
        <w:spacing w:after="0" w:line="186"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xml:space="preserve">. All calculations under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shall be made to the nearest share, as applicable.</w:t>
      </w:r>
    </w:p>
    <w:p>
      <w:pPr>
        <w:spacing w:after="0" w:line="225" w:lineRule="exact"/>
        <w:rPr>
          <w:rFonts w:ascii="Times New Roman" w:cs="Times New Roman" w:eastAsia="Times New Roman" w:hAnsi="Times New Roman"/>
          <w:sz w:val="18"/>
          <w:szCs w:val="18"/>
          <w:color w:val="auto"/>
        </w:rPr>
      </w:pPr>
    </w:p>
    <w:p>
      <w:pPr>
        <w:jc w:val="both"/>
        <w:ind w:firstLine="1304"/>
        <w:spacing w:after="0" w:line="259" w:lineRule="auto"/>
        <w:tabs>
          <w:tab w:leader="none" w:pos="153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Adjustments</w:t>
      </w:r>
      <w:r>
        <w:rPr>
          <w:rFonts w:ascii="Times New Roman" w:cs="Times New Roman" w:eastAsia="Times New Roman" w:hAnsi="Times New Roman"/>
          <w:sz w:val="18"/>
          <w:szCs w:val="18"/>
          <w:color w:val="auto"/>
        </w:rPr>
        <w:t xml:space="preserve">. Upon the occurrence of each adjustment pursuant to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the Company at its expense will, at the written request of the Holder, promptly compute such adjustment, in good faith, in accordance with the terms of this Warrant and prepare a certificate setting forth such adjustment, including a statement of the adjusted number or type of Warrant Shares or other securities issuable upon exercise of this Warrant (as applicable), describing the transactions giving rise to such adjustments and showing in detail the facts upon which such adjustment is based. Upon written request, the Company will promptly deliver a copy of each such certificate to the Holder and to the Transfer Agent.</w:t>
      </w:r>
    </w:p>
    <w:p>
      <w:pPr>
        <w:spacing w:after="0" w:line="183"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6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Corporate Events</w:t>
      </w:r>
      <w:r>
        <w:rPr>
          <w:rFonts w:ascii="Times New Roman" w:cs="Times New Roman" w:eastAsia="Times New Roman" w:hAnsi="Times New Roman"/>
          <w:sz w:val="18"/>
          <w:szCs w:val="18"/>
          <w:color w:val="auto"/>
        </w:rPr>
        <w:t xml:space="preserve">. If, while this Warrant is outstanding, the Company (i) declares a dividend or any other distribution of cash, securities or other property in respect of its Class A Ordinary Shares, including, without limitation, any granting of rights or warrants to subscribe for or purchase any capital stock of the Company or any subsidiary, (ii) enters into any definitive agreement contemplating or soliciting shareholder approval for any Fundamental Transaction or (iii) authorizes the voluntary dissolution, liquidation or winding up of the affairs of the Company, then, except if such notice and the contents thereof shall be deemed to constitute material non-public information, the Company shall deliver to the Holder a notice of such transaction at least ten (10) days prior to the applicable record or effective date on which a Person would need to hold Class A Ordinary Shares in order to participate in or vote with respect to such transaction;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failure to deliver such notice or any defect therein shall not affect the validity of the corporate action required to be described in such notice. In addition, if while this Warrant is outstanding, the Company enters into any definitive agreement contemplating or solicits shareholder approval for any Fundamental Transaction contemplated by </w:t>
      </w:r>
      <w:r>
        <w:rPr>
          <w:rFonts w:ascii="Times New Roman" w:cs="Times New Roman" w:eastAsia="Times New Roman" w:hAnsi="Times New Roman"/>
          <w:sz w:val="18"/>
          <w:szCs w:val="18"/>
          <w:u w:val="single" w:color="auto"/>
          <w:color w:val="auto"/>
        </w:rPr>
        <w:t>Section 9(d)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other than a Fundamental Transaction under clause (iii) of </w:t>
      </w:r>
      <w:r>
        <w:rPr>
          <w:rFonts w:ascii="Times New Roman" w:cs="Times New Roman" w:eastAsia="Times New Roman" w:hAnsi="Times New Roman"/>
          <w:sz w:val="18"/>
          <w:szCs w:val="18"/>
          <w:u w:val="single" w:color="auto"/>
          <w:color w:val="auto"/>
        </w:rPr>
        <w:t>Section 9(d)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Company shall deliver to the Holder a notice of such Fundamental Transaction at least ten (10) days prior to the date such Fundamental Transaction is consummated. Holder agrees to maintain any information disclosed pursuant to this </w:t>
      </w:r>
      <w:r>
        <w:rPr>
          <w:rFonts w:ascii="Times New Roman" w:cs="Times New Roman" w:eastAsia="Times New Roman" w:hAnsi="Times New Roman"/>
          <w:sz w:val="18"/>
          <w:szCs w:val="18"/>
          <w:u w:val="single" w:color="auto"/>
          <w:color w:val="auto"/>
        </w:rPr>
        <w:t>Section</w:t>
      </w:r>
    </w:p>
    <w:p>
      <w:pPr>
        <w:spacing w:after="0" w:line="3" w:lineRule="exact"/>
        <w:rPr>
          <w:rFonts w:ascii="Times New Roman" w:cs="Times New Roman" w:eastAsia="Times New Roman" w:hAnsi="Times New Roman"/>
          <w:sz w:val="18"/>
          <w:szCs w:val="18"/>
          <w:color w:val="auto"/>
        </w:rPr>
      </w:pPr>
    </w:p>
    <w:p>
      <w:pPr>
        <w:ind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9(g)</w:t>
      </w:r>
      <w:r>
        <w:rPr>
          <w:rFonts w:ascii="Times New Roman" w:cs="Times New Roman" w:eastAsia="Times New Roman" w:hAnsi="Times New Roman"/>
          <w:sz w:val="18"/>
          <w:szCs w:val="18"/>
          <w:color w:val="auto"/>
        </w:rPr>
        <w:t xml:space="preserve"> in confidence until such information is publicly available and shall comply with applicable law with respect to trading in the Company’s securities following receipt of any such information.</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10 PAYMENT OF EXERCISE PRICE</w:t>
      </w:r>
      <w:r>
        <w:rPr>
          <w:rFonts w:ascii="Times New Roman" w:cs="Times New Roman" w:eastAsia="Times New Roman" w:hAnsi="Times New Roman"/>
          <w:sz w:val="18"/>
          <w:szCs w:val="18"/>
          <w:color w:val="auto"/>
        </w:rPr>
        <w:t>. Notwithstanding anything contained herein to the contrary, the Holder may, in its sole discretion, satisfy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obligation to pay the Exercise Price through a “cashless exercise,” in which event the Company shall issue to the Holder the number of Warrant Shares determined as follows: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 = Y [(A-B)/A]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 equals the number of Warrant Shares to be issued to the Holder;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Y</w:t>
      </w:r>
      <w:r>
        <w:rPr>
          <w:rFonts w:ascii="Times New Roman" w:cs="Times New Roman" w:eastAsia="Times New Roman" w:hAnsi="Times New Roman"/>
          <w:sz w:val="18"/>
          <w:szCs w:val="18"/>
          <w:color w:val="auto"/>
        </w:rPr>
        <w:t>” equals the total number of Warrant Shares with respect to which this Warrant is then being exercised;</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equals the last VWAP immediately preceding the time of delivery of the Exercise Notice giving rise to the applicable “cashless exercise,” as set forth in the applicable Exercise Notice (to clarify, the “last VWAP” will be the last VWAP as calculated over an entire Trading Day such that, in the event that this Warrant is exercised at a time that the Principal Trading Market is open, the prior Trading Day’s VWAP shall be used in this calculation); and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equals the Exercise Price then in effect for the applicable Warrant Shares at the time of such exercise.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purposes of Rule 144 promulgated under the Securities Act, it is intended, understood, and acknowledged that the Warrant Shares issued in a “cashless exercise” transaction shall be deemed to have been acquired by the Holder, and the holding period for the Warrant Shares shall be deemed to have commenced, on the date this Warrant was originally issued (provided that the Commission continues to take the position that such treatment is proper at the time of such exercise).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(payment of cash in lieu of fractional shares), in no event will the exercise of this Warrant be settled in cash.</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11 LIMITATIONS ON EXERCISE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304"/>
        <w:spacing w:after="0" w:line="251" w:lineRule="auto"/>
        <w:tabs>
          <w:tab w:leader="none" w:pos="154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any Section herein, the Company shall not effect any exercise of this Warrant, and the Holder shall not be entitled to exercise this Warrant for a number of Warrant Shares in excess of that number of Warrant Shares which, upon giving effect to such exercise, would cause (i) the aggregate number of Class A Ordinary Shares beneficially owned by the Holder and the other Attribution Parties, to exceed [4.99][9.99% (or, at the election of the Holder prior to the issuance of the Warrant, 4.99%)] (the “</w:t>
      </w:r>
      <w:r>
        <w:rPr>
          <w:rFonts w:ascii="Times New Roman" w:cs="Times New Roman" w:eastAsia="Times New Roman" w:hAnsi="Times New Roman"/>
          <w:sz w:val="18"/>
          <w:szCs w:val="18"/>
          <w:b w:val="1"/>
          <w:bCs w:val="1"/>
          <w:color w:val="auto"/>
        </w:rPr>
        <w:t>Maximum Percentage</w:t>
      </w:r>
      <w:r>
        <w:rPr>
          <w:rFonts w:ascii="Times New Roman" w:cs="Times New Roman" w:eastAsia="Times New Roman" w:hAnsi="Times New Roman"/>
          <w:sz w:val="18"/>
          <w:szCs w:val="18"/>
          <w:color w:val="auto"/>
        </w:rPr>
        <w:t>”) of the total number of issued and outstanding Class A Ordinary Shares of the Company following such exercise, or (ii) the combined voting power of the securities of the Company beneficially owned by the Holder and the other Attribution Parties to exceed 9.99% of the combined voting power of all of the securities of the Company then outstanding following such exercise. For purposes of this Warrant, in determining the number of outstanding Class A Ordinary Shares, the Holder may rely on the number of outstanding Class A Ordinary Shares as reflected in (x) the Company’s most recent Quarterly Report on Form 10-Q or Annual Report on Form 10-K, as the case may be, filed with the Commission prior to the date hereof, (y) a more recent public announcement by the Company or (z) any other notice by the Company or its transfer agent setting forth the number of Class A Ordinary Shares outstanding. Upon the written request of the Holder, the Company shall within three (3) Trading Days confirm in writing or by electronic mail to the Holder the number of Class A Ordinary Shares then outstanding. In any case, the number of outstanding Class A Ordinary Shares shall be determined after giving effect to the conversion or exercise of securities of the Company, including this Warrant, by the Holder since the date as of which such number of outstanding Class A Ordinary Shares was reported. By written notice to the Company, the Holder may from time to time increase or decrease the Maximum Percentage to any other percentage specified not in excess of 19.99% (the “</w:t>
      </w:r>
      <w:r>
        <w:rPr>
          <w:rFonts w:ascii="Times New Roman" w:cs="Times New Roman" w:eastAsia="Times New Roman" w:hAnsi="Times New Roman"/>
          <w:sz w:val="18"/>
          <w:szCs w:val="18"/>
          <w:b w:val="1"/>
          <w:bCs w:val="1"/>
          <w:color w:val="auto"/>
        </w:rPr>
        <w:t>Maximum Cap</w:t>
      </w:r>
      <w:r>
        <w:rPr>
          <w:rFonts w:ascii="Times New Roman" w:cs="Times New Roman" w:eastAsia="Times New Roman" w:hAnsi="Times New Roman"/>
          <w:sz w:val="18"/>
          <w:szCs w:val="18"/>
          <w:color w:val="auto"/>
        </w:rPr>
        <w:t>”) in such notice; provided that any such increase will not be effective until the sixty-</w:t>
      </w:r>
    </w:p>
    <w:p>
      <w:pPr>
        <w:spacing w:after="0" w:line="1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first (61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day after such notice is delivered to the Company; provided, that the Maximum Cap shall only apply to the extent required by Nasdaq Marketplace Rule 5635(b) and if the Maximum Cap is not applicable then the Warrant shall be fully exercisable. For purposes of this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the aggregate number of Class A Ordinary Shares or voting securities beneficially owned by the Holder and the other Attribution Parties shall include the Class A Ordinary Shares issuable upon the exercise of this Warrant with respect to which such determination is being made, but shall exclude the number of Class A Ordinary Shares which would be issuable upon (x) exercise of the remaining unexercised and non-cancelled portion of this Warrant by the Holder and (y) exercise or conversion of the unexercised, non-converted or non-cancelled portion of any other securities of the Company that do not have voting power (including, without limitation, any securities of the Company which would entitle the holder thereof to acquire at any time Class A Ordinary Shares, including, without limitation, any debt, preferred shares, right, option, warrant or other instrument that is at any time convertible into or exercisable or exchangeable for, or otherwise entitles the holder thereof to receive, Class A Ordinary Shares), is subject to a limitation on conversion or exercise analogous to the limitation contained herein and is beneficially owned by the Holder and the other Attribution Parties.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1" w:name="page52"/>
    <w:bookmarkEnd w:id="51"/>
    <w:p>
      <w:pPr>
        <w:jc w:val="both"/>
        <w:ind w:firstLine="1304"/>
        <w:spacing w:after="0" w:line="268" w:lineRule="auto"/>
        <w:tabs>
          <w:tab w:leader="none" w:pos="1561"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shall not restrict the number of Class A Ordinary Shares that a Holder may receive or beneficially own in order to determine the amount of securities or other consideration that such Holder may receive in the event of a Fundamental Transaction as contemplated in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this Warrant.</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12 NO FRACTIONAL SHARES</w:t>
      </w:r>
      <w:r>
        <w:rPr>
          <w:rFonts w:ascii="Times New Roman" w:cs="Times New Roman" w:eastAsia="Times New Roman" w:hAnsi="Times New Roman"/>
          <w:sz w:val="18"/>
          <w:szCs w:val="18"/>
          <w:color w:val="auto"/>
        </w:rPr>
        <w:t>. No fractional Warrant Shares will be issued in connection with any exercise of this Warrant. In lieu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fractional shares that would otherwise be issuable, the number of Warrant Shares to be issued shall be rounded down to the next whole number and the Company shall pay the Holder in cash the fair market value (based on the last VWAP immediately preceding the time of delivery of the applicable Exercise Notice) for any such fractional shares.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13 NOTICES</w:t>
      </w:r>
      <w:r>
        <w:rPr>
          <w:rFonts w:ascii="Times New Roman" w:cs="Times New Roman" w:eastAsia="Times New Roman" w:hAnsi="Times New Roman"/>
          <w:sz w:val="18"/>
          <w:szCs w:val="18"/>
          <w:color w:val="auto"/>
        </w:rPr>
        <w:t>. Any and all notices or other communications or deliveries hereunder (including, without limitation, any Exercise Notice)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writing and shall be deemed given and effective on the earliest of (i) the date of transmission, if such notice or communication is delivered via confirmed e-mail at the e-mail address specified below prior to 4:00 P.M., New York City time, on a Trading Day, (ii) the next Trading Day after the date of transmission, if such notice or communication is delivered via confirmed e-mail at the e-mail address specified below on a day that is not a Trading Day or later than 4:00 P.M., New York City time, on any Trading Day, (iii) the second Trading Day following the date of mailing, if sent by nationally recognized overnight courier service specifying next business day delivery, or (iv) upon actual receipt by the Person to whom such notice is required to be given, if by hand delivery. The e-mail address for purposes of providing notice hereunder is: m.bodenstedt@moonlaketx.com.</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14 WARRANT AGENT</w:t>
      </w:r>
      <w:r>
        <w:rPr>
          <w:rFonts w:ascii="Times New Roman" w:cs="Times New Roman" w:eastAsia="Times New Roman" w:hAnsi="Times New Roman"/>
          <w:sz w:val="18"/>
          <w:szCs w:val="18"/>
          <w:color w:val="auto"/>
        </w:rPr>
        <w:t>. The Company shall initially serve as warrant agent under this Warrant. Upon ten (10) days’ notice to the Holder,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may appoint a new warrant agent. Any corporation into which the Company or any new warrant agent may be merged, or any corporation resulting from any consolidation to which the Company or any new warrant agent shall be a party, or any corporation to which the Company or any new warrant agent transfers substantially all of its corporate trust or shareholders services business shall be a successor warrant agent under this Warrant without any further act. Any such successor warrant agent shall promptly cause notice of its succession as warrant agent to be mailed (by first class mail, postage prepaid) to the Holder at the Holder’s last address as shown on the Warrant Register.</w:t>
      </w:r>
    </w:p>
    <w:p>
      <w:pPr>
        <w:spacing w:after="0" w:line="182" w:lineRule="exact"/>
        <w:rPr>
          <w:sz w:val="20"/>
          <w:szCs w:val="20"/>
          <w:color w:val="auto"/>
        </w:rPr>
      </w:pPr>
    </w:p>
    <w:p>
      <w:pPr>
        <w:ind w:left="880" w:hanging="224"/>
        <w:spacing w:after="0"/>
        <w:tabs>
          <w:tab w:leader="none" w:pos="88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firstLine="1304"/>
        <w:spacing w:after="0" w:line="254" w:lineRule="auto"/>
        <w:tabs>
          <w:tab w:leader="none" w:pos="154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a Shareholder.</w:t>
      </w:r>
      <w:r>
        <w:rPr>
          <w:rFonts w:ascii="Times New Roman" w:cs="Times New Roman" w:eastAsia="Times New Roman" w:hAnsi="Times New Roman"/>
          <w:sz w:val="18"/>
          <w:szCs w:val="18"/>
          <w:color w:val="auto"/>
        </w:rPr>
        <w:t xml:space="preserve">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shareholder of the Company or any right to vote, give or withhold consent to any corporate action (whether any reorganization, issue of shares, reclassification of shares, consolidation, merger, amalgamation,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shareholder of the Company, whether such liabilities are asserted by the Company or by creditors of the Company.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2" w:name="page53"/>
    <w:bookmarkEnd w:id="52"/>
    <w:p>
      <w:pPr>
        <w:jc w:val="both"/>
        <w:ind w:firstLine="1304"/>
        <w:spacing w:after="0" w:line="254" w:lineRule="auto"/>
        <w:tabs>
          <w:tab w:leader="none" w:pos="157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 Except and to the extent as waived or consented to by the Holder, the Company shall not, by any action, including, without limitation, amend its articles of association or effect any reorganization, transfer of assets, consolidation, merger, dissolution, issue, or sale of securities or any other voluntary action to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88"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5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compliance with applicable securities laws, this Warrant may be assigned by the Holder. This Warrant may not be assigned by the Company without the written consent of the Holder except to a successor in the event of a Fundamental Transaction. This Warrant shall be binding on and inure to the benefit of the Company and the Holder and their respective successors and assigns. Subject to the preceding sentence, nothing in this Warrant shall be construed to give to any Person other than the Company and the Holder any legal or equitable right, remedy, or cause of action under this Warrant. This Warrant may be amended only in writing signed by the Company and the Holder, or their successors and assigns.</w:t>
      </w:r>
    </w:p>
    <w:p>
      <w:pPr>
        <w:spacing w:after="0" w:line="187"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1"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Waiver</w:t>
      </w:r>
      <w:r>
        <w:rPr>
          <w:rFonts w:ascii="Times New Roman" w:cs="Times New Roman" w:eastAsia="Times New Roman" w:hAnsi="Times New Roman"/>
          <w:sz w:val="18"/>
          <w:szCs w:val="18"/>
          <w:color w:val="auto"/>
        </w:rPr>
        <w:t>. Except as otherwise provided herein, the provisions of this Warrant may be amended and the Company may take any action herein prohibited, or omit to perform any act herein required to be performed by it, only if the Company has obtained the written consent of the Holder.</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Acceptance</w:t>
      </w:r>
      <w:r>
        <w:rPr>
          <w:rFonts w:ascii="Times New Roman" w:cs="Times New Roman" w:eastAsia="Times New Roman" w:hAnsi="Times New Roman"/>
          <w:sz w:val="18"/>
          <w:szCs w:val="18"/>
          <w:color w:val="auto"/>
        </w:rPr>
        <w:t>. Receipt of this Warrant by the Holder shall constitute acceptance of and agreement to all of the terms and conditions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contained herein.</w:t>
      </w:r>
    </w:p>
    <w:p>
      <w:pPr>
        <w:spacing w:after="0" w:line="206"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4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Jurisdiction</w:t>
      </w:r>
      <w:r>
        <w:rPr>
          <w:rFonts w:ascii="Times New Roman" w:cs="Times New Roman" w:eastAsia="Times New Roman" w:hAnsi="Times New Roman"/>
          <w:sz w:val="18"/>
          <w:szCs w:val="18"/>
          <w:color w:val="auto"/>
        </w:rPr>
        <w:t>. ALL QUESTIONS CONCERNING THE CONSTRUCTION, VALIDITY, ENFORCEMENT, AND INTERPRETATION OF THIS WARRANT SHALL BE GOVERNED BY, AND CONSTRUED AND ENFORCED IN ACCORDANCE WITH, THE LAWS OF THE STATE OF NEW YORK WITHOUT REGARD TO THE PRINCIPLES OF CONFLICTS OF LAW THEREOF. EACH OF THE COMPANY AND THE HOLDER HEREBY IRREVOCABLY SUBMITS TO THE EXCLUSIVE JURISDICTION OF THE STATE AND FEDERAL COURTS SITTING IN THE STATE OF NEW YORK,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ANY SUCH COURT. EACH OF THE COMPANY AND THE HOLDER HEREBY IRREVOCABLY WAIVES PERSONAL SERVICE OF PROCESS AND CONSENTS TO PROCESS BEING SERVED IN ANY SUCH SUIT, ACTION OR PROCEEDING BY MAILING A COPY THEREOF VIA REGISTERED OR CERTIFIED MAIL OR OVERNIGHT DELIVERY (WITH EVIDENCE OF DELIVERY) TO SUCH PERSON AT THE ADDRESS IN EFFECT FOR NOTICES TO IT AND AGREES THAT SUCH SERVICE SHALL CONSTITUTE GOOD AND SUFFICIENT SERVICE OF PROCESS AND NOTICE THEREOF. NOTHING CONTAINED HEREIN SHALL BE DEEMED TO LIMIT IN ANY WAY ANY RIGHT TO SERVE PROCESS IN ANY MANNER PERMITTED BY LAW. EACH OF THE COMPANY AND THE HOLDER HEREBY WAIVES ALL RIGHTS TO A TRIAL BY JURY.</w:t>
      </w:r>
    </w:p>
    <w:p>
      <w:pPr>
        <w:spacing w:after="0" w:line="196" w:lineRule="exact"/>
        <w:rPr>
          <w:rFonts w:ascii="Times New Roman" w:cs="Times New Roman" w:eastAsia="Times New Roman" w:hAnsi="Times New Roman"/>
          <w:sz w:val="18"/>
          <w:szCs w:val="18"/>
          <w:color w:val="auto"/>
        </w:rPr>
      </w:pPr>
    </w:p>
    <w:p>
      <w:pPr>
        <w:ind w:right="20" w:firstLine="1304"/>
        <w:spacing w:after="0" w:line="282" w:lineRule="auto"/>
        <w:tabs>
          <w:tab w:leader="none" w:pos="1551"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herein are for convenience only, do not constitute a part of this Warrant, and shall not be deemed to limit or affect any of the provisions hereof.</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1"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case any one or more of the provisions of this Warrant shall be invalid or unenforceable in any respect, the validity and enforceability of the remaining terms and provisions of this Warrant shall not in any way be affected or impaired thereby, and the Company and the Holder will attempt in good faith to agree upon a valid and enforceable provision which shall be a commercially reasonable substitute therefor, and upon so agreeing, shall incorporate such substitute provision in this Warrant.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color w:val="auto"/>
        </w:rPr>
        <w:t>IN WITNESS WHEREOF, the Company has caused this Warrant to be duly executed by its authorized officer as of the date first indicated above.</w:t>
      </w:r>
    </w:p>
    <w:p>
      <w:pPr>
        <w:spacing w:after="0" w:line="23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MOONLAKE IMMUNOTHERAPEUTICS</w:t>
      </w:r>
    </w:p>
    <w:p>
      <w:pPr>
        <w:spacing w:after="0" w:line="22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4086225</wp:posOffset>
            </wp:positionH>
            <wp:positionV relativeFrom="paragraph">
              <wp:posOffset>17145</wp:posOffset>
            </wp:positionV>
            <wp:extent cx="263144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80"/>
          </w:cols>
          <w:pgMar w:left="980" w:top="904" w:right="439" w:bottom="1440" w:gutter="0" w:footer="0" w:header="0"/>
        </w:sectPr>
      </w:pPr>
    </w:p>
    <w:bookmarkStart w:id="54" w:name="page55"/>
    <w:bookmarkEnd w:id="54"/>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SCHEDULE 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 OF EXERCISE NOTICE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 be executed by the Holder to purchase Class A Ordinary Shares under the Warrant]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ind w:left="980" w:hanging="324"/>
        <w:spacing w:after="0" w:line="268" w:lineRule="auto"/>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is the Holder of Warrant No. ______ (the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issued by MoonLake Immunotherapeutics, a Cayman Islands exempted company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Capitalized terms used herein and not otherwise defined herein have the respective meanings set forth in the Warrant.</w:t>
      </w:r>
    </w:p>
    <w:p>
      <w:pPr>
        <w:spacing w:after="0" w:line="17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exercises its right to purchase Warrant Shares pursuant to the Warrant.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intends that payment of the Exercise Price shall be made as (check one):</w:t>
      </w:r>
    </w:p>
    <w:p>
      <w:pPr>
        <w:spacing w:after="0" w:line="225" w:lineRule="exact"/>
        <w:rPr>
          <w:rFonts w:ascii="Times New Roman" w:cs="Times New Roman" w:eastAsia="Times New Roman" w:hAnsi="Times New Roman"/>
          <w:sz w:val="18"/>
          <w:szCs w:val="18"/>
          <w:color w:val="auto"/>
        </w:rPr>
      </w:pPr>
    </w:p>
    <w:p>
      <w:pPr>
        <w:ind w:left="1620" w:hanging="640"/>
        <w:spacing w:after="0"/>
        <w:tabs>
          <w:tab w:leader="none" w:pos="1620" w:val="left"/>
        </w:tabs>
        <w:numPr>
          <w:ilvl w:val="1"/>
          <w:numId w:val="5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Cash Exercise</w:t>
      </w:r>
    </w:p>
    <w:p>
      <w:pPr>
        <w:spacing w:after="0" w:line="221" w:lineRule="exact"/>
        <w:rPr>
          <w:rFonts w:ascii="MS PGothic" w:cs="MS PGothic" w:eastAsia="MS PGothic" w:hAnsi="MS PGothic"/>
          <w:sz w:val="18"/>
          <w:szCs w:val="18"/>
          <w:color w:val="auto"/>
        </w:rPr>
      </w:pPr>
    </w:p>
    <w:p>
      <w:pPr>
        <w:ind w:left="1620" w:hanging="640"/>
        <w:spacing w:after="0"/>
        <w:tabs>
          <w:tab w:leader="none" w:pos="1620" w:val="left"/>
        </w:tabs>
        <w:numPr>
          <w:ilvl w:val="1"/>
          <w:numId w:val="5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Cashless Exercise</w:t>
      </w:r>
      <w:r>
        <w:rPr>
          <w:rFonts w:ascii="Times New Roman" w:cs="Times New Roman" w:eastAsia="Times New Roman" w:hAnsi="Times New Roman"/>
          <w:sz w:val="18"/>
          <w:szCs w:val="18"/>
          <w:color w:val="auto"/>
        </w:rPr>
        <w:t>” under Section 10 of the Warrant</w:t>
      </w:r>
    </w:p>
    <w:p>
      <w:pPr>
        <w:spacing w:after="0" w:line="229" w:lineRule="exact"/>
        <w:rPr>
          <w:rFonts w:ascii="MS PGothic" w:cs="MS PGothic" w:eastAsia="MS PGothic" w:hAnsi="MS PGothic"/>
          <w:sz w:val="18"/>
          <w:szCs w:val="18"/>
          <w:color w:val="auto"/>
        </w:rPr>
      </w:pPr>
    </w:p>
    <w:p>
      <w:pPr>
        <w:ind w:left="980" w:hanging="324"/>
        <w:spacing w:after="0" w:line="282" w:lineRule="auto"/>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Holder has elected a Cash Exercise, the Holder shall pay the sum of $______ in immediately available funds to the Company in accordance with the terms of the Warrant.</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this Exercise Notice, the Company shall deliver to the Holder Warrant Shares determined in accordance with the terms of the Warrant.</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its delivery of this Exercise Notice, the undersigned represents and warrants to the Company that in giving effect to the exercise evidenced hereby the Holder will not beneficially own in excess of the number of Class A Ordinary Shares (as determined in accordance with Section 13(d) of the Securities Exchange Act of 1934, as amended) permitted to be owned under Section 11(a) of the Warrant to which this notice relates.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17145</wp:posOffset>
            </wp:positionV>
            <wp:extent cx="249428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17145</wp:posOffset>
            </wp:positionV>
            <wp:extent cx="249428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17145</wp:posOffset>
            </wp:positionV>
            <wp:extent cx="249428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17145</wp:posOffset>
            </wp:positionV>
            <wp:extent cx="249428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17145</wp:posOffset>
            </wp:positionV>
            <wp:extent cx="249428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(Signature must conform in all respects to name of Holder as specified on the face of the Warrant)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31"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FORM OF LOCK-UP AGREEMENT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Form of Lock-Up Agreement</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June _____,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Leerink Partners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 of the several Underwriters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c/o</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Leerink Partners LLC</w:t>
            </w:r>
          </w:p>
        </w:tc>
      </w:tr>
      <w:tr>
        <w:trPr>
          <w:trHeight w:val="216"/>
        </w:trPr>
        <w:tc>
          <w:tcPr>
            <w:tcW w:w="440" w:type="dxa"/>
            <w:vAlign w:val="bottom"/>
          </w:tcPr>
          <w:p>
            <w:pPr>
              <w:spacing w:after="0"/>
              <w:rPr>
                <w:sz w:val="18"/>
                <w:szCs w:val="18"/>
                <w:color w:val="auto"/>
              </w:rPr>
            </w:pP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53 State Street, 40th Floor</w:t>
            </w:r>
          </w:p>
        </w:tc>
      </w:tr>
      <w:tr>
        <w:trPr>
          <w:trHeight w:val="234"/>
        </w:trPr>
        <w:tc>
          <w:tcPr>
            <w:tcW w:w="440" w:type="dxa"/>
            <w:vAlign w:val="bottom"/>
          </w:tcPr>
          <w:p>
            <w:pPr>
              <w:spacing w:after="0"/>
              <w:rPr>
                <w:sz w:val="20"/>
                <w:szCs w:val="20"/>
                <w:color w:val="auto"/>
              </w:rPr>
            </w:pP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Boston, MA 02109</w:t>
            </w:r>
          </w:p>
        </w:tc>
      </w:tr>
      <w:tr>
        <w:trPr>
          <w:trHeight w:val="392"/>
        </w:trPr>
        <w:tc>
          <w:tcPr>
            <w:tcW w:w="440" w:type="dxa"/>
            <w:vAlign w:val="bottom"/>
          </w:tcPr>
          <w:p>
            <w:pPr>
              <w:spacing w:after="0"/>
              <w:rPr>
                <w:sz w:val="24"/>
                <w:szCs w:val="24"/>
                <w:color w:val="auto"/>
              </w:rPr>
            </w:pP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 Proposed Public Offering by MoonLake Immunotherapeutics</w:t>
            </w:r>
          </w:p>
        </w:tc>
      </w:tr>
      <w:tr>
        <w:trPr>
          <w:trHeight w:val="20"/>
        </w:trPr>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20" w:type="dxa"/>
            <w:vAlign w:val="bottom"/>
            <w:shd w:val="clear" w:color="auto" w:fill="000000"/>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undersigned, a shareholder, officer and/or director of MoonLake Immunotherapeutics, a Cayman Islands exempted company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understands that Leerink Partners LLC (the “</w:t>
      </w:r>
      <w:r>
        <w:rPr>
          <w:rFonts w:ascii="Times New Roman" w:cs="Times New Roman" w:eastAsia="Times New Roman" w:hAnsi="Times New Roman"/>
          <w:sz w:val="18"/>
          <w:szCs w:val="18"/>
          <w:u w:val="single" w:color="auto"/>
          <w:color w:val="auto"/>
        </w:rPr>
        <w:t>Representative</w:t>
      </w:r>
      <w:r>
        <w:rPr>
          <w:rFonts w:ascii="Times New Roman" w:cs="Times New Roman" w:eastAsia="Times New Roman" w:hAnsi="Times New Roman"/>
          <w:sz w:val="18"/>
          <w:szCs w:val="18"/>
          <w:color w:val="auto"/>
        </w:rPr>
        <w:t>”) proposes to enter into an Underwriting Agreement (the “</w:t>
      </w:r>
      <w:r>
        <w:rPr>
          <w:rFonts w:ascii="Times New Roman" w:cs="Times New Roman" w:eastAsia="Times New Roman" w:hAnsi="Times New Roman"/>
          <w:sz w:val="18"/>
          <w:szCs w:val="18"/>
          <w:u w:val="single" w:color="auto"/>
          <w:color w:val="auto"/>
        </w:rPr>
        <w:t>Underwriting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with the Company providing for the public offering (the “</w:t>
      </w:r>
      <w:r>
        <w:rPr>
          <w:rFonts w:ascii="Times New Roman" w:cs="Times New Roman" w:eastAsia="Times New Roman" w:hAnsi="Times New Roman"/>
          <w:sz w:val="18"/>
          <w:szCs w:val="18"/>
          <w:u w:val="single" w:color="auto"/>
          <w:color w:val="auto"/>
        </w:rPr>
        <w:t>Public Offering</w:t>
      </w:r>
      <w:r>
        <w:rPr>
          <w:rFonts w:ascii="Times New Roman" w:cs="Times New Roman" w:eastAsia="Times New Roman" w:hAnsi="Times New Roman"/>
          <w:sz w:val="18"/>
          <w:szCs w:val="18"/>
          <w:color w:val="auto"/>
        </w:rPr>
        <w:t>”) of the Company’s Class A ordinary shares, par value $0.0001 per share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and any other securities as may be determined to be issued by the Company pursuant to the Underwriting Agreement. In recognition of the benefit that such an offering will confer upon the undersigned as a shareholder, an officer and/or a director of the Company, and for other good and valuable consideration, the receipt and sufficiency of which are hereby acknowledged, the undersigned agrees with each underwriter to be named in the Underwriting Agreement (collectively, the “</w:t>
      </w:r>
      <w:r>
        <w:rPr>
          <w:rFonts w:ascii="Times New Roman" w:cs="Times New Roman" w:eastAsia="Times New Roman" w:hAnsi="Times New Roman"/>
          <w:sz w:val="18"/>
          <w:szCs w:val="18"/>
          <w:u w:val="single" w:color="auto"/>
          <w:color w:val="auto"/>
        </w:rPr>
        <w:t>Underwriters</w:t>
      </w:r>
      <w:r>
        <w:rPr>
          <w:rFonts w:ascii="Times New Roman" w:cs="Times New Roman" w:eastAsia="Times New Roman" w:hAnsi="Times New Roman"/>
          <w:sz w:val="18"/>
          <w:szCs w:val="18"/>
          <w:color w:val="auto"/>
        </w:rPr>
        <w:t>”) that, during the period beginning on the date hereof and ending on the date that is 45 days from the date of the Underwriting Agreement (the “</w:t>
      </w:r>
      <w:r>
        <w:rPr>
          <w:rFonts w:ascii="Times New Roman" w:cs="Times New Roman" w:eastAsia="Times New Roman" w:hAnsi="Times New Roman"/>
          <w:sz w:val="18"/>
          <w:szCs w:val="18"/>
          <w:u w:val="single" w:color="auto"/>
          <w:color w:val="auto"/>
        </w:rPr>
        <w:t>Lock-Up Period</w:t>
      </w:r>
      <w:r>
        <w:rPr>
          <w:rFonts w:ascii="Times New Roman" w:cs="Times New Roman" w:eastAsia="Times New Roman" w:hAnsi="Times New Roman"/>
          <w:sz w:val="18"/>
          <w:szCs w:val="18"/>
          <w:color w:val="auto"/>
        </w:rPr>
        <w:t>”), the undersigned will not, without the prior written consent of the Representative, on behalf of the Underwriters, directly or indirectly, (i) offer, pledge, sell, contract to sell, sell any option or contract to purchase, purchase any option or contract to sell, grant any option, right or warrant for the sale of, or otherwise dispose of or transfer any Shares or any securities convertible into or exchangeable or exercisable for Shares, whether now owned or hereafter acquired by the undersigned or with respect to which the undersigned has or hereafter acquires the power of disposition (collectively, the “</w:t>
      </w:r>
      <w:r>
        <w:rPr>
          <w:rFonts w:ascii="Times New Roman" w:cs="Times New Roman" w:eastAsia="Times New Roman" w:hAnsi="Times New Roman"/>
          <w:sz w:val="18"/>
          <w:szCs w:val="18"/>
          <w:u w:val="single" w:color="auto"/>
          <w:color w:val="auto"/>
        </w:rPr>
        <w:t>Lock-Up Securities</w:t>
      </w:r>
      <w:r>
        <w:rPr>
          <w:rFonts w:ascii="Times New Roman" w:cs="Times New Roman" w:eastAsia="Times New Roman" w:hAnsi="Times New Roman"/>
          <w:sz w:val="18"/>
          <w:szCs w:val="18"/>
          <w:color w:val="auto"/>
        </w:rPr>
        <w:t>”), or exercise any right with respect to the registration of any of the Lock-Up Securities, or file or cause to be filed any registration statement in connection therewith, under the Securities Act of 1933, as amended, or (ii) enter into any swap or any other agreement or any transaction that transfers, in whole or in part, directly or indirectly, the economic consequence of ownership of the Lock-Up Securities, whether any such swap or transaction is to be settled by delivery of Shares or other securities, in cash or otherwise.</w:t>
      </w:r>
    </w:p>
    <w:p>
      <w:pPr>
        <w:spacing w:after="0" w:line="19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Notwithstanding the foregoing, and subject to the conditions below, the undersigned may transfer Lock-Up Securities without the prior written consent of the Representative, provided, in each case, that (1) in the cases of (i), (ii), (iii), (iv), (v), (ix) and (x), the Representative receives a signed lock-up agreement for the balance of the Lock-Up Period from each donee, trustee, distributee, or transferee, as the case may be, (2) in the cases of (i), (ii), (iii), (iv), (v), (vi), (ix) and (x), any such transfer shall not involve a disposition for value, (3) such transfers are not required to be reported with the U.S. Securities and Exchange Commission on Form 4 in accordance with Section 16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other than in the case of a transfer or other disposition pursuant to clauses (vii), (viii) and (xi), where any filing under the Exchange Act or other public filing, report or announcement in connection with such transfer or distribution legally required during the Lock-Up Period shall clearly indicate by footnote disclosure or otherwise the nature of the transfer or disposition, and (4) the undersigned does not otherwise voluntarily effect any public filing or report regarding such transfers (other than a filing on a Form 5 made after the expiration of the Lock-Up Period):</w:t>
      </w:r>
    </w:p>
    <w:p>
      <w:pPr>
        <w:spacing w:after="0" w:line="186" w:lineRule="exact"/>
        <w:rPr>
          <w:sz w:val="20"/>
          <w:szCs w:val="20"/>
          <w:color w:val="auto"/>
        </w:rPr>
      </w:pPr>
    </w:p>
    <w:p>
      <w:pPr>
        <w:ind w:left="5480" w:right="5060" w:hanging="4824"/>
        <w:spacing w:after="0" w:line="785" w:lineRule="auto"/>
        <w:tabs>
          <w:tab w:leader="none" w:pos="129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gift or gifts or for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estate planning purposes; 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7" w:name="page58"/>
    <w:bookmarkEnd w:id="57"/>
    <w:p>
      <w:pPr>
        <w:jc w:val="both"/>
        <w:ind w:left="644" w:hanging="644"/>
        <w:spacing w:after="0" w:line="266" w:lineRule="auto"/>
        <w:tabs>
          <w:tab w:leader="none" w:pos="64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member of the immediate family of the undersigned or any trust for the direct or indirect benefit of the undersigned or the immediate family of the undersigned (for purposes of this lock-up agreement, “immediate family” shall mean any relationship by blood, marriage or adoption, not more remote than first cousin);</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distribution or other transfer by a partnership to its partners or former partners or by a limited liability company to its members or former members, or by a corporation to its shareholders or former shareholders or to any wholly-owned subsidiary of such corporation, or by a trust contemplated in clause (ii) above to its beneficiaries;</w:t>
      </w:r>
    </w:p>
    <w:p>
      <w:pPr>
        <w:spacing w:after="0" w:line="175"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undersigned’s affiliates or to any investment fund or other entity controlled or managed by the undersigned or the immediate family of the undersigned;</w:t>
      </w:r>
    </w:p>
    <w:p>
      <w:pPr>
        <w:spacing w:after="0" w:line="16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qualified domestic relations order or in connection with a divorce settlement;</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will, other testamentary document or intestate succession upon the death of the undersigned;</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in satisfaction of any tax withholding obligation;</w:t>
      </w:r>
    </w:p>
    <w:p>
      <w:pPr>
        <w:spacing w:after="0" w:line="225"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conversion of any convertible security into, or the exercise of any option or warrant for, Shares in a manner consistent with the description of such securities contained in the Prospectus, provided that any such Shares received shall be subject to the terms of this agreement;</w:t>
      </w:r>
    </w:p>
    <w:p>
      <w:pPr>
        <w:spacing w:after="0" w:line="17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charitable organization or educational institution;</w:t>
      </w:r>
    </w:p>
    <w:p>
      <w:pPr>
        <w:spacing w:after="0" w:line="225"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nominee or custodian of a person or entity to whom a disposition or transfer would be permissible under clauses (i) through (ix) above; or</w:t>
      </w:r>
    </w:p>
    <w:p>
      <w:pPr>
        <w:spacing w:after="0" w:line="161"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sales of the undersigned’s Lock-Up Securities made pursuant to a 10b5-1 trading plan that complies with Rule 10b5-1 under the Exchange Act (“</w:t>
      </w:r>
      <w:r>
        <w:rPr>
          <w:rFonts w:ascii="Times New Roman" w:cs="Times New Roman" w:eastAsia="Times New Roman" w:hAnsi="Times New Roman"/>
          <w:sz w:val="18"/>
          <w:szCs w:val="18"/>
          <w:u w:val="single" w:color="auto"/>
          <w:color w:val="auto"/>
        </w:rPr>
        <w:t>10b5-1 Trading Plan</w:t>
      </w:r>
      <w:r>
        <w:rPr>
          <w:rFonts w:ascii="Times New Roman" w:cs="Times New Roman" w:eastAsia="Times New Roman" w:hAnsi="Times New Roman"/>
          <w:sz w:val="18"/>
          <w:szCs w:val="18"/>
          <w:color w:val="auto"/>
        </w:rPr>
        <w:t>”) that has been entered into by the undersigned prior to the date of this lock-up agreement and provided to the Representative and its counsel.</w:t>
      </w:r>
    </w:p>
    <w:p>
      <w:pPr>
        <w:spacing w:after="0" w:line="392"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58" w:name="page59"/>
    <w:bookmarkEnd w:id="58"/>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Furthermore, no provision in this letter shall be deemed to restrict or prohibit (1) the transfer of the undersigned’s Lock-Up Securities to the Company in connection with the termination of the undersigned’s services to the Company, provided that any filing under Section 16 of the Exchange Act made in connection with such transfer shall clearly indicate in the footnotes thereto that the filing relates to the circumstances described in this clause (1);</w:t>
      </w:r>
    </w:p>
    <w:p>
      <w:pPr>
        <w:spacing w:after="0" w:line="1" w:lineRule="exact"/>
        <w:rPr>
          <w:sz w:val="20"/>
          <w:szCs w:val="20"/>
          <w:color w:val="auto"/>
        </w:rPr>
      </w:pPr>
    </w:p>
    <w:p>
      <w:pPr>
        <w:jc w:val="both"/>
        <w:ind w:firstLine="8"/>
        <w:spacing w:after="0" w:line="251" w:lineRule="auto"/>
        <w:tabs>
          <w:tab w:leader="none" w:pos="25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or exchange by the undersigned of any option or warrant to acquire any Shares or options to purchase Shares, in each case for cash or on a “cashless” or “net exercise” basis, pursuant to any share option, share bonus or other share plan or arrangement; provided, however, that the underlying Shares shall continue to be subject to the restrictions on transfer set forth in this letter and that any filing under Section 16 of the Exchange Act made in connection with such exercise or exchange shall clearly indicate in the footnotes thereto that (a) the filing relates to the circumstances described in this clause (2) and (b) no shares were sold by the reporting person; (3) the transfer of Lock-Up Securities upon the completion of a bona fide third-party tender offer, merger, consolidation or other similar transaction made to all holders of the Company’s securities involving a change of control of the Company (including, without limitation, the entering into of any lock-up, voting or similar agreement pursuant to which the undersigned may agree to transfer, sell, tender or otherwise dispose of Shares or other such securities in connection with such transaction, or vote any Shares or other securities in favor of any such transaction); provided, however, that in the event that such tender offer, merger, consolidation or other such transaction is not completed, such securities held by the undersigned shall remain subject to the restrictions on transfer set forth in this letter; and (4) the conversion of outstanding preference shares of the Company into Shares, provided that any such shares received upon such conversion shall be subject to the restrictions on transfer set forth in this letter.</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Notwithstanding anything herein to the contrary, nothing herein shall prevent the undersigned from establishing a 10b5-1 Trading Plan or from amending an existing 10b5-1 Trading Plan so long as there are no sales of Lock-Up Securities under any such 10b5-1 Trading Plan during the Lock-Up Period; provided, however, that any public announcement or filing under the Exchange Act regarding the establishment or amendment of such 10b5-1 Trading Plan shall clearly disclose that no Shares shall be disposed by such plan during the duration of the Lock-Up Period.</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undersigned also agrees and consents to the entry of stop transfer instructions with the Company’s transfer agent and registrar against the transfer of the Lock-Up Securities except in compliance with the foregoing restrictions. This lock-up agreement shall automatically terminate, and the undersigned shall be released from the undersigned’s obligations hereunder, upon the earliest to occur, if any, of (i) prior to the execution of the Underwriting Agreement, the Company advises the Representative in writing that it has determined not to proceed with the Public Offering; (ii) the Underwriting Agreement is executed but is terminated prior to the closing of the Public Offering (other than the provisions thereof which survive termination), or (iii) July 15, 2026, in the event that the Underwriting Agreement has not been executed by such date.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agreement shall be governed by, and construed in accordance with, the laws of the State of New York.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9" w:name="page60"/>
    <w:bookmarkEnd w:id="59"/>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308610</wp:posOffset>
            </wp:positionV>
            <wp:extent cx="284607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Name of Security Holder </w:t>
      </w:r>
      <w:r>
        <w:rPr>
          <w:rFonts w:ascii="Times New Roman" w:cs="Times New Roman" w:eastAsia="Times New Roman" w:hAnsi="Times New Roman"/>
          <w:sz w:val="18"/>
          <w:szCs w:val="18"/>
          <w:i w:val="1"/>
          <w:iCs w:val="1"/>
          <w:color w:val="auto"/>
        </w:rPr>
        <w:t>(Print exact name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63144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If not signing in an individual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291465</wp:posOffset>
            </wp:positionV>
            <wp:extent cx="284607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Name of Authorized Signatory </w:t>
      </w:r>
      <w:r>
        <w:rPr>
          <w:rFonts w:ascii="Times New Roman" w:cs="Times New Roman" w:eastAsia="Times New Roman" w:hAnsi="Times New Roman"/>
          <w:sz w:val="18"/>
          <w:szCs w:val="18"/>
          <w:i w:val="1"/>
          <w:iCs w:val="1"/>
          <w:color w:val="auto"/>
        </w:rPr>
        <w:t>(Print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292735</wp:posOffset>
            </wp:positionV>
            <wp:extent cx="284607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Title of Authorized Signatory </w:t>
      </w:r>
      <w:r>
        <w:rPr>
          <w:rFonts w:ascii="Times New Roman" w:cs="Times New Roman" w:eastAsia="Times New Roman" w:hAnsi="Times New Roman"/>
          <w:sz w:val="18"/>
          <w:szCs w:val="18"/>
          <w:i w:val="1"/>
          <w:iCs w:val="1"/>
          <w:color w:val="auto"/>
        </w:rPr>
        <w:t>(Print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i w:val="1"/>
          <w:iCs w:val="1"/>
          <w:color w:val="auto"/>
        </w:rPr>
        <w:t>(indicate capacity of person signing if signing as custodian,</w:t>
      </w:r>
    </w:p>
    <w:p>
      <w:pPr>
        <w:spacing w:after="0" w:line="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trustee, or on behalf of an entity)</w:t>
      </w:r>
    </w:p>
    <w:p>
      <w:pPr>
        <w:spacing w:after="0" w:line="207"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age to</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2"/>
          <w:szCs w:val="12"/>
          <w:color w:val="auto"/>
        </w:rPr>
        <w:t>ock</w:t>
      </w:r>
      <w:r>
        <w:rPr>
          <w:rFonts w:ascii="Times New Roman" w:cs="Times New Roman" w:eastAsia="Times New Roman" w:hAnsi="Times New Roman"/>
          <w:sz w:val="18"/>
          <w:szCs w:val="18"/>
          <w:color w:val="auto"/>
        </w:rPr>
        <w:t>-U</w:t>
      </w:r>
      <w:r>
        <w:rPr>
          <w:rFonts w:ascii="Times New Roman" w:cs="Times New Roman" w:eastAsia="Times New Roman" w:hAnsi="Times New Roman"/>
          <w:sz w:val="12"/>
          <w:szCs w:val="12"/>
          <w:color w:val="auto"/>
        </w:rPr>
        <w:t>p</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40"/>
          </w:cols>
          <w:pgMar w:left="1440" w:top="904" w:right="519" w:bottom="1440" w:gutter="0" w:footer="0" w:header="0"/>
        </w:sectPr>
      </w:pPr>
    </w:p>
    <w:bookmarkStart w:id="60" w:name="page61"/>
    <w:bookmarkEnd w:id="60"/>
    <w:p>
      <w:pPr>
        <w:ind w:left="10240"/>
        <w:spacing w:after="0"/>
        <w:rPr>
          <w:sz w:val="20"/>
          <w:szCs w:val="20"/>
          <w:color w:val="auto"/>
        </w:rPr>
      </w:pPr>
      <w:r>
        <w:rPr>
          <w:rFonts w:ascii="Times New Roman" w:cs="Times New Roman" w:eastAsia="Times New Roman" w:hAnsi="Times New Roman"/>
          <w:sz w:val="21"/>
          <w:szCs w:val="21"/>
          <w:b w:val="1"/>
          <w:bCs w:val="1"/>
          <w:color w:val="auto"/>
        </w:rPr>
        <w:t>Exhibit 4.1</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MOONLAKE IMMUNOTHERAPEUTICS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PRE-FUNDED WARRANT TO PURCHASE CLASS A ORDINARY SHARES</w:t>
      </w:r>
    </w:p>
    <w:p>
      <w:pPr>
        <w:spacing w:after="0" w:line="229" w:lineRule="exact"/>
        <w:rPr>
          <w:sz w:val="20"/>
          <w:szCs w:val="20"/>
          <w:color w:val="auto"/>
        </w:rPr>
      </w:pPr>
    </w:p>
    <w:p>
      <w:pPr>
        <w:ind w:left="9600"/>
        <w:spacing w:after="0"/>
        <w:rPr>
          <w:sz w:val="20"/>
          <w:szCs w:val="20"/>
          <w:color w:val="auto"/>
        </w:rPr>
      </w:pPr>
      <w:r>
        <w:rPr>
          <w:rFonts w:ascii="Times New Roman" w:cs="Times New Roman" w:eastAsia="Times New Roman" w:hAnsi="Times New Roman"/>
          <w:sz w:val="18"/>
          <w:szCs w:val="18"/>
          <w:color w:val="auto"/>
        </w:rPr>
        <w:t>Number of Shares: [●]</w:t>
      </w:r>
    </w:p>
    <w:p>
      <w:pPr>
        <w:spacing w:after="0" w:line="27" w:lineRule="exact"/>
        <w:rPr>
          <w:sz w:val="20"/>
          <w:szCs w:val="20"/>
          <w:color w:val="auto"/>
        </w:rPr>
      </w:pPr>
    </w:p>
    <w:p>
      <w:pPr>
        <w:ind w:left="9600"/>
        <w:spacing w:after="0"/>
        <w:rPr>
          <w:sz w:val="20"/>
          <w:szCs w:val="20"/>
          <w:color w:val="auto"/>
        </w:rPr>
      </w:pPr>
      <w:r>
        <w:rPr>
          <w:rFonts w:ascii="Times New Roman" w:cs="Times New Roman" w:eastAsia="Times New Roman" w:hAnsi="Times New Roman"/>
          <w:sz w:val="17"/>
          <w:szCs w:val="17"/>
          <w:color w:val="auto"/>
        </w:rPr>
        <w:t>(subject to adjustment)</w:t>
      </w:r>
    </w:p>
    <w:p>
      <w:pPr>
        <w:spacing w:after="0" w:line="218" w:lineRule="exact"/>
        <w:rPr>
          <w:sz w:val="20"/>
          <w:szCs w:val="20"/>
          <w:color w:val="auto"/>
        </w:rPr>
      </w:pPr>
    </w:p>
    <w:p>
      <w:pPr>
        <w:spacing w:after="0"/>
        <w:tabs>
          <w:tab w:leader="none" w:pos="8680" w:val="left"/>
        </w:tabs>
        <w:rPr>
          <w:sz w:val="20"/>
          <w:szCs w:val="20"/>
          <w:color w:val="auto"/>
        </w:rPr>
      </w:pPr>
      <w:r>
        <w:rPr>
          <w:rFonts w:ascii="Times New Roman" w:cs="Times New Roman" w:eastAsia="Times New Roman" w:hAnsi="Times New Roman"/>
          <w:sz w:val="18"/>
          <w:szCs w:val="18"/>
          <w:color w:val="auto"/>
        </w:rPr>
        <w:t>Warrant No. [●]</w:t>
      </w:r>
      <w:r>
        <w:rPr>
          <w:sz w:val="20"/>
          <w:szCs w:val="20"/>
          <w:color w:val="auto"/>
        </w:rPr>
        <w:tab/>
      </w:r>
      <w:r>
        <w:rPr>
          <w:rFonts w:ascii="Times New Roman" w:cs="Times New Roman" w:eastAsia="Times New Roman" w:hAnsi="Times New Roman"/>
          <w:sz w:val="18"/>
          <w:szCs w:val="18"/>
          <w:color w:val="auto"/>
        </w:rPr>
        <w:t>Original Issue Date: June 25, 2026</w:t>
      </w:r>
    </w:p>
    <w:p>
      <w:pPr>
        <w:spacing w:after="0" w:line="2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MoonLake Immunotherapeutics, a Cayman Islands exempted company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certifies that, for good and valuable consideration, the receipt and sufficiency of which are hereby acknowledged, [●] or its permitted registered assigns (the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is entitled, subject to the terms set forth below, to purchase from the Company up to a total of [●] Class A ordinary shares, $0.0001 par value per share (the “</w:t>
      </w:r>
      <w:r>
        <w:rPr>
          <w:rFonts w:ascii="Times New Roman" w:cs="Times New Roman" w:eastAsia="Times New Roman" w:hAnsi="Times New Roman"/>
          <w:sz w:val="18"/>
          <w:szCs w:val="18"/>
          <w:b w:val="1"/>
          <w:bCs w:val="1"/>
          <w:color w:val="auto"/>
        </w:rPr>
        <w:t>Class A Ordinary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of the Company (each such share, a “</w:t>
      </w:r>
      <w:r>
        <w:rPr>
          <w:rFonts w:ascii="Times New Roman" w:cs="Times New Roman" w:eastAsia="Times New Roman" w:hAnsi="Times New Roman"/>
          <w:sz w:val="18"/>
          <w:szCs w:val="18"/>
          <w:b w:val="1"/>
          <w:bCs w:val="1"/>
          <w:color w:val="auto"/>
        </w:rPr>
        <w:t>Warrant Share</w:t>
      </w:r>
      <w:r>
        <w:rPr>
          <w:rFonts w:ascii="Times New Roman" w:cs="Times New Roman" w:eastAsia="Times New Roman" w:hAnsi="Times New Roman"/>
          <w:sz w:val="18"/>
          <w:szCs w:val="18"/>
          <w:color w:val="auto"/>
        </w:rPr>
        <w:t>” and all such shares, the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at an exercise price per share equal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$0.0001 per share (as adjusted from time to time as provided in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herein, the “</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upon surrender of this Pre-Funded Warrant to Purchase Class A Ordinary Shares (including any Pre-Funded Warrants to Purchase Class A Ordinary Shares issued in exchange, transfer or replacement hereof, the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at any time and from time to time on or after the date hereof (the “</w:t>
      </w:r>
      <w:r>
        <w:rPr>
          <w:rFonts w:ascii="Times New Roman" w:cs="Times New Roman" w:eastAsia="Times New Roman" w:hAnsi="Times New Roman"/>
          <w:sz w:val="18"/>
          <w:szCs w:val="18"/>
          <w:b w:val="1"/>
          <w:bCs w:val="1"/>
          <w:color w:val="auto"/>
        </w:rPr>
        <w:t>Original Issue Date</w:t>
      </w:r>
      <w:r>
        <w:rPr>
          <w:rFonts w:ascii="Times New Roman" w:cs="Times New Roman" w:eastAsia="Times New Roman" w:hAnsi="Times New Roman"/>
          <w:sz w:val="18"/>
          <w:szCs w:val="18"/>
          <w:color w:val="auto"/>
        </w:rPr>
        <w:t>”), and subject to the following terms and conditions: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 DEFINITIONS</w:t>
      </w:r>
      <w:r>
        <w:rPr>
          <w:rFonts w:ascii="Times New Roman" w:cs="Times New Roman" w:eastAsia="Times New Roman" w:hAnsi="Times New Roman"/>
          <w:sz w:val="18"/>
          <w:szCs w:val="18"/>
          <w:color w:val="auto"/>
        </w:rPr>
        <w:t>. For purposes of this Warrant, the following terms shall have the following meanings:</w:t>
      </w:r>
    </w:p>
    <w:p>
      <w:pPr>
        <w:spacing w:after="0" w:line="225" w:lineRule="exact"/>
        <w:rPr>
          <w:sz w:val="20"/>
          <w:szCs w:val="20"/>
          <w:color w:val="auto"/>
        </w:rPr>
      </w:pPr>
    </w:p>
    <w:p>
      <w:pPr>
        <w:jc w:val="both"/>
        <w:ind w:firstLine="1304"/>
        <w:spacing w:after="0" w:line="256" w:lineRule="auto"/>
        <w:tabs>
          <w:tab w:leader="none" w:pos="1541"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any Person directly or indirectly controlled by, controlling, or under common control with, a Holder, but only for so long as such control shall continue. For purposes of this definition, “control” (including, with correlative meanings, “controlled by,” “controlling” and “under common control with”) means, with respect to a Person, possession, direct or indirect, of (a) the power to direct or cause direction of the management and policies of such Person (whether through ownership of securities or partnership or other ownership interests, by contract or otherwise), or</w:t>
      </w:r>
    </w:p>
    <w:p>
      <w:pPr>
        <w:spacing w:after="0" w:line="3" w:lineRule="exact"/>
        <w:rPr>
          <w:rFonts w:ascii="Times New Roman" w:cs="Times New Roman" w:eastAsia="Times New Roman" w:hAnsi="Times New Roman"/>
          <w:sz w:val="18"/>
          <w:szCs w:val="18"/>
          <w:color w:val="auto"/>
        </w:rPr>
      </w:pPr>
    </w:p>
    <w:p>
      <w:pPr>
        <w:ind w:right="20" w:firstLine="8"/>
        <w:spacing w:after="0" w:line="260" w:lineRule="auto"/>
        <w:tabs>
          <w:tab w:leader="none" w:pos="27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50% of the voting securities (whether directly or pursuant to any option, warrant, or other similar arrangement) or other comparable equity interests.</w:t>
      </w:r>
    </w:p>
    <w:p>
      <w:pPr>
        <w:spacing w:after="0" w:line="177" w:lineRule="exact"/>
        <w:rPr>
          <w:rFonts w:ascii="Times New Roman" w:cs="Times New Roman" w:eastAsia="Times New Roman" w:hAnsi="Times New Roman"/>
          <w:sz w:val="18"/>
          <w:szCs w:val="18"/>
          <w:color w:val="auto"/>
        </w:rPr>
      </w:pPr>
    </w:p>
    <w:p>
      <w:pPr>
        <w:jc w:val="both"/>
        <w:ind w:firstLine="1304"/>
        <w:spacing w:after="0" w:line="257" w:lineRule="auto"/>
        <w:tabs>
          <w:tab w:leader="none" w:pos="1564"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Attribution Parties</w:t>
      </w:r>
      <w:r>
        <w:rPr>
          <w:rFonts w:ascii="Times New Roman" w:cs="Times New Roman" w:eastAsia="Times New Roman" w:hAnsi="Times New Roman"/>
          <w:sz w:val="18"/>
          <w:szCs w:val="18"/>
          <w:color w:val="auto"/>
        </w:rPr>
        <w:t>” means, collectively, the following persons and entities: (i) any direct or indirect Affiliates of the Holder, (ii) any investment vehicle, including, any funds, feeder funds or managed accounts, currently, or from time to time after the date hereof, directly or indirectly managed or advised by the Holder’s investment manager, (iii) any Person acting or who could be deemed to be acting as a Group together with the Holder or any Attribution Parties and (iv) any other Persons whose beneficial ownership of the Company’s Class A Ordinary Shares would or could be aggregated with the Holder’s and/or any other Attribution Parties for purposes of Section 13(d) or Section 16 of the Exchange Act. For clarity, the purpose of the foregoing is to subject collectively the Holder and all other Attribution Parties to the Maximum Percentage.</w:t>
      </w:r>
    </w:p>
    <w:p>
      <w:pPr>
        <w:spacing w:after="0" w:line="182"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means the U.S.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1" w:name="page62"/>
    <w:bookmarkEnd w:id="61"/>
    <w:p>
      <w:pPr>
        <w:ind w:left="1560" w:hanging="256"/>
        <w:spacing w:after="0"/>
        <w:tabs>
          <w:tab w:leader="none" w:pos="15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U.S. Securities Exchange Act of 1934, as amended.</w:t>
      </w:r>
    </w:p>
    <w:p>
      <w:pPr>
        <w:spacing w:after="0" w:line="225"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Group</w:t>
      </w:r>
      <w:r>
        <w:rPr>
          <w:rFonts w:ascii="Times New Roman" w:cs="Times New Roman" w:eastAsia="Times New Roman" w:hAnsi="Times New Roman"/>
          <w:sz w:val="18"/>
          <w:szCs w:val="18"/>
          <w:color w:val="auto"/>
        </w:rPr>
        <w:t>” shall have the meaning ascribed to it in Section 13(d) of the Exchange Act, and all related rules, regulations and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jurisprudence.</w:t>
      </w:r>
    </w:p>
    <w:p>
      <w:pPr>
        <w:spacing w:after="0" w:line="203" w:lineRule="exact"/>
        <w:rPr>
          <w:sz w:val="20"/>
          <w:szCs w:val="20"/>
          <w:color w:val="auto"/>
        </w:rPr>
      </w:pPr>
    </w:p>
    <w:p>
      <w:pPr>
        <w:ind w:firstLine="1304"/>
        <w:spacing w:after="0" w:line="286" w:lineRule="auto"/>
        <w:tabs>
          <w:tab w:leader="none" w:pos="1521"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Principal Trading Market</w:t>
      </w:r>
      <w:r>
        <w:rPr>
          <w:rFonts w:ascii="Times New Roman" w:cs="Times New Roman" w:eastAsia="Times New Roman" w:hAnsi="Times New Roman"/>
          <w:sz w:val="18"/>
          <w:szCs w:val="18"/>
          <w:color w:val="auto"/>
        </w:rPr>
        <w:t>” means the national securities exchange or other trading market on which the Class A Ordinary Shares are primarily listed and quoted for trading, which, as of the Original Issue Date, shall be the Nasdaq Capital Market.</w:t>
      </w:r>
    </w:p>
    <w:p>
      <w:pPr>
        <w:spacing w:after="0" w:line="154" w:lineRule="exact"/>
        <w:rPr>
          <w:rFonts w:ascii="Times New Roman" w:cs="Times New Roman" w:eastAsia="Times New Roman" w:hAnsi="Times New Roman"/>
          <w:sz w:val="18"/>
          <w:szCs w:val="18"/>
          <w:color w:val="auto"/>
        </w:rPr>
      </w:pPr>
    </w:p>
    <w:p>
      <w:pPr>
        <w:ind w:firstLine="1304"/>
        <w:spacing w:after="0" w:line="286" w:lineRule="auto"/>
        <w:tabs>
          <w:tab w:leader="none" w:pos="156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means the Company’s registration statement on Form S-3 (File No. 333-274286), which was filed on August 31, 2023 and became effective on September 11, 2023.</w:t>
      </w:r>
    </w:p>
    <w:p>
      <w:pPr>
        <w:spacing w:after="0" w:line="154"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U.S. Securities Act of 1933, as amended.</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any weekday on which the Principal Trading Market is open for trading.</w:t>
      </w:r>
    </w:p>
    <w:p>
      <w:pPr>
        <w:spacing w:after="0" w:line="225" w:lineRule="exact"/>
        <w:rPr>
          <w:rFonts w:ascii="Times New Roman" w:cs="Times New Roman" w:eastAsia="Times New Roman" w:hAnsi="Times New Roman"/>
          <w:sz w:val="18"/>
          <w:szCs w:val="18"/>
          <w:color w:val="auto"/>
        </w:rPr>
      </w:pPr>
    </w:p>
    <w:p>
      <w:pPr>
        <w:ind w:firstLine="1304"/>
        <w:spacing w:after="0" w:line="286" w:lineRule="auto"/>
        <w:tabs>
          <w:tab w:leader="none" w:pos="1511"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means Continental Stock Transfer and Trust Company, the Company’s transfer agent and registrar for the Class A Ordinary Shares, and any successor appointed in such capacity.</w:t>
      </w:r>
    </w:p>
    <w:p>
      <w:pPr>
        <w:spacing w:after="0" w:line="154"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6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VWAP</w:t>
      </w:r>
      <w:r>
        <w:rPr>
          <w:rFonts w:ascii="Times New Roman" w:cs="Times New Roman" w:eastAsia="Times New Roman" w:hAnsi="Times New Roman"/>
          <w:sz w:val="18"/>
          <w:szCs w:val="18"/>
          <w:color w:val="auto"/>
        </w:rPr>
        <w:t>” means, for any date, the price determined by the first of the following clauses that applies: (i) if the Class A Ordinary Shares then listed or quoted on a national securities exchange or other trading market, the daily volume weighted average price of the Class A Ordinary Shares for such date (or the nearest preceding date) on the Principal Trading Market as reported by Bloomberg L.P. (based on a Trading Day from 9:30 a.m. (New York City time) to 4:02 p.m. (New York City time)), (ii) if the Class A Ordinary Shares then listed or quoted for trading and neither OTCQB nor OTCQX is the Principal Trading Market, the volume weighted average price of the Class A Ordinary Shares for such date (or the nearest preceding date) on OTCQB or OTCQX, as applicable, (iii) if the Class A Ordinary Shares not then listed or quoted for trading on OTCQB or OTCQX and if prices for the Class A Ordinary Shares are then reported in the “</w:t>
      </w:r>
      <w:r>
        <w:rPr>
          <w:rFonts w:ascii="Times New Roman" w:cs="Times New Roman" w:eastAsia="Times New Roman" w:hAnsi="Times New Roman"/>
          <w:sz w:val="18"/>
          <w:szCs w:val="18"/>
          <w:b w:val="1"/>
          <w:bCs w:val="1"/>
          <w:color w:val="auto"/>
        </w:rPr>
        <w:t>Pink Sheets</w:t>
      </w:r>
      <w:r>
        <w:rPr>
          <w:rFonts w:ascii="Times New Roman" w:cs="Times New Roman" w:eastAsia="Times New Roman" w:hAnsi="Times New Roman"/>
          <w:sz w:val="18"/>
          <w:szCs w:val="18"/>
          <w:color w:val="auto"/>
        </w:rPr>
        <w:t>” published by OTC Markets Group, Inc. (or a similar organization or agency succeeding to its functions of reporting prices), the most recent bid price per share of the Class A Ordinary Shares so reported, or (iv) in all other cases, the fair market value of a Class A Ordinary Share as determined by an independent appraiser selected in good faith by the Holder and reasonably acceptable to the Company, the fees and expenses of which shall be paid by the Company.</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2 ISSUANCE OF SECURITIES; REGISTRATION OF WARRANTS</w:t>
      </w:r>
      <w:r>
        <w:rPr>
          <w:rFonts w:ascii="Times New Roman" w:cs="Times New Roman" w:eastAsia="Times New Roman" w:hAnsi="Times New Roman"/>
          <w:sz w:val="18"/>
          <w:szCs w:val="18"/>
          <w:color w:val="auto"/>
        </w:rPr>
        <w:t>. The Warrant, as initially issued by the Company, is offered and sold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the Registration Statement. As of the Original Issue Date, the Warrant Shares are issuable under the Registration Statement. Accordingly, the Warrant and, assuming issuance pursuant to the Registration Statement or an exchange meeting the requirements of Section 3(a)(9) of the Exchange Act as in effect on the Original Issue Date, the Warrant Shares, are not “restricted securities” under Rule 144 promulgated under the Securities Act. The Company shall register this Warrant, upon records to be maintained by or on behalf of the Company for that purpose (the “</w:t>
      </w:r>
      <w:r>
        <w:rPr>
          <w:rFonts w:ascii="Times New Roman" w:cs="Times New Roman" w:eastAsia="Times New Roman" w:hAnsi="Times New Roman"/>
          <w:sz w:val="18"/>
          <w:szCs w:val="18"/>
          <w:b w:val="1"/>
          <w:bCs w:val="1"/>
          <w:color w:val="auto"/>
        </w:rPr>
        <w:t>Warrant Register</w:t>
      </w:r>
      <w:r>
        <w:rPr>
          <w:rFonts w:ascii="Times New Roman" w:cs="Times New Roman" w:eastAsia="Times New Roman" w:hAnsi="Times New Roman"/>
          <w:sz w:val="18"/>
          <w:szCs w:val="18"/>
          <w:color w:val="auto"/>
        </w:rPr>
        <w:t>”), in the name of the record Holder (which shall include the initial Holder or, as the case may be, any registered assignee to which this Warrant is permissibly assigned hereunder)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2" w:name="page63"/>
    <w:bookmarkEnd w:id="62"/>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3 REGISTRATION OF TRANSFERS</w:t>
      </w:r>
      <w:r>
        <w:rPr>
          <w:rFonts w:ascii="Times New Roman" w:cs="Times New Roman" w:eastAsia="Times New Roman" w:hAnsi="Times New Roman"/>
          <w:sz w:val="18"/>
          <w:szCs w:val="18"/>
          <w:color w:val="auto"/>
        </w:rPr>
        <w:t>. Subject to compliance with all applicable securities laws, the Company shall, or will cause its 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 to, register the transfer of all or any portion of this Warrant in the Warrant Register, upon surrender of this Warrant, and payment for all applicable transfer taxes (if any). Upon any such registration or transfer, a new warrant to purchase Class A Ordinary Shares in substantially the form of this Warrant (any such new warrant, a “</w:t>
      </w:r>
      <w:r>
        <w:rPr>
          <w:rFonts w:ascii="Times New Roman" w:cs="Times New Roman" w:eastAsia="Times New Roman" w:hAnsi="Times New Roman"/>
          <w:sz w:val="18"/>
          <w:szCs w:val="18"/>
          <w:b w:val="1"/>
          <w:bCs w:val="1"/>
          <w:color w:val="auto"/>
        </w:rPr>
        <w:t>New Warrant</w:t>
      </w:r>
      <w:r>
        <w:rPr>
          <w:rFonts w:ascii="Times New Roman" w:cs="Times New Roman" w:eastAsia="Times New Roman" w:hAnsi="Times New Roman"/>
          <w:sz w:val="18"/>
          <w:szCs w:val="18"/>
          <w:color w:val="auto"/>
        </w:rPr>
        <w:t xml:space="preserve">”) evidencing the portion of this Warrant so transferred shall be issued to the transferee, and a New Warrant evidencing the remaining portion of this Warrant not so transferred, if any, shall be issued to the transferring Holder. The acceptance of the New Warrant by the transferee thereof shall be deemed the acceptance by such transferee of all of the rights and obligations in respect of the New Warrant that the Holder has in respect of this Warrant. The Company shall, or will cause its Transfer Agent to, prepare, issue, and deliver at the Company’s own expense any New Warrant under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Until due presentment for registration of transfer, the Company may treat the registered Holder hereof as the owner and holder of this Warrant for all purposes, and the Company shall not be affected by any notice to the contrary.</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4 EXERCISE AND DURATION OF WARRANTS</w:t>
      </w:r>
    </w:p>
    <w:p>
      <w:pPr>
        <w:spacing w:after="0" w:line="225" w:lineRule="exact"/>
        <w:rPr>
          <w:sz w:val="20"/>
          <w:szCs w:val="20"/>
          <w:color w:val="auto"/>
        </w:rPr>
      </w:pPr>
    </w:p>
    <w:p>
      <w:pPr>
        <w:ind w:right="20" w:firstLine="1304"/>
        <w:spacing w:after="0" w:line="286" w:lineRule="auto"/>
        <w:tabs>
          <w:tab w:leader="none" w:pos="153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or any part of this Warrant shall be exercisable by the registered Holder in any manner permitted by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this Warrant at any time and from time to time on or after the Original Issue Date.</w:t>
      </w:r>
    </w:p>
    <w:p>
      <w:pPr>
        <w:spacing w:after="0" w:line="158"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5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Holder may exercise this Warrant by delivering to the Company (i) an exercise notice, in the form attached as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b w:val="1"/>
          <w:bCs w:val="1"/>
          <w:color w:val="auto"/>
        </w:rPr>
        <w:t>Exercise Notice</w:t>
      </w:r>
      <w:r>
        <w:rPr>
          <w:rFonts w:ascii="Times New Roman" w:cs="Times New Roman" w:eastAsia="Times New Roman" w:hAnsi="Times New Roman"/>
          <w:sz w:val="18"/>
          <w:szCs w:val="18"/>
          <w:color w:val="auto"/>
        </w:rPr>
        <w:t xml:space="preserve">”), completed and duly signed, and (ii) payment of the Exercise Price for the number of Warrant Shares as to which this Warrant is being exercised (which may take the form of a “cashless exercise” if so indicated in the Exercise Notice pursuant to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below), and the date on which the last of such items is delivered to the Company (as determined in accordance with the notice provisions hereof) is an “</w:t>
      </w:r>
      <w:r>
        <w:rPr>
          <w:rFonts w:ascii="Times New Roman" w:cs="Times New Roman" w:eastAsia="Times New Roman" w:hAnsi="Times New Roman"/>
          <w:sz w:val="18"/>
          <w:szCs w:val="18"/>
          <w:b w:val="1"/>
          <w:bCs w:val="1"/>
          <w:color w:val="auto"/>
        </w:rPr>
        <w:t>Exercise Date.</w:t>
      </w:r>
      <w:r>
        <w:rPr>
          <w:rFonts w:ascii="Times New Roman" w:cs="Times New Roman" w:eastAsia="Times New Roman" w:hAnsi="Times New Roman"/>
          <w:sz w:val="18"/>
          <w:szCs w:val="18"/>
          <w:color w:val="auto"/>
        </w:rPr>
        <w:t>” The Holder shall not be required to deliver the original Warrant in order to effect an exercise hereunder. Execution and delivery of the Exercise Notice shall have the same effect as cancellation of the original Warrant and issuance of a New Warrant evidencing the right to purchase the remaining number of Warrant Shares, if any.</w:t>
      </w:r>
    </w:p>
    <w:p>
      <w:pPr>
        <w:spacing w:after="0" w:line="185" w:lineRule="exact"/>
        <w:rPr>
          <w:sz w:val="20"/>
          <w:szCs w:val="20"/>
          <w:color w:val="auto"/>
        </w:rPr>
      </w:pPr>
    </w:p>
    <w:p>
      <w:pPr>
        <w:ind w:left="800" w:hanging="144"/>
        <w:spacing w:after="0"/>
        <w:tabs>
          <w:tab w:leader="none" w:pos="80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DELIVERY OF WARRANT SHARES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firstLine="1304"/>
        <w:spacing w:after="0" w:line="253" w:lineRule="auto"/>
        <w:tabs>
          <w:tab w:leader="none" w:pos="1549"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exercise of this Warrant, the Company shall promptly (but in no event later than one (1) Trading Day after the Exercise Date), upon the request of the Holder, credit such aggregate number of Class A Ordinary Shares to which the Holder is entitled pursuant to such exercise to the Holder’s or its designee’s balance account with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through its Deposit Withdrawal Agent Commission system, or if the Transfer Agent is not participating in the Fast Automated Securities Transfer Program or if the certificates or book entry position are required to bear a legend regarding restriction on transferability, issue and dispatch by overnight courier to the address as specified in the Exercise Notice, a certificate or book entry position, registered in the Company’s share register in the name of the Holder or its designee, for the number of Class A Ordinary Shares to which the Holder is entitled pursuant to such exercise. The Holder, or any natural person or legal entity (each, a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permissibly so designated by the Holder to receive Warrant Shares, shall be deemed to have become the holder of record of such Warrant Shares as of the Exercise Date, irrespective of the date such Warrant Shares are credited to the Holder’s DTC account or the date of delivery of the certificates or book entry position evidencing such Warrant Shares, as the case may be.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3" w:name="page64"/>
    <w:bookmarkEnd w:id="63"/>
    <w:p>
      <w:pPr>
        <w:jc w:val="both"/>
        <w:ind w:firstLine="1304"/>
        <w:spacing w:after="0" w:line="252" w:lineRule="auto"/>
        <w:tabs>
          <w:tab w:leader="none" w:pos="1551"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the close of the first Trading Day after the Exercise Date, the Company fails to credit the Holder’s balance account with DTC for such number of Warrant Shares to which the Holder is entitled, and if after such first Trading Day and prior to the receipt of such Warrant Shares, the Holder purchases (in an open market transaction, provided such purchases shall be made in a commercially reasonable manner at prevailing market prices) Class A Ordinary Shares to deliver in satisfaction of a sale by the Holder of the Warrant Shares which the Holder anticipated receiving upon such exercise (a “</w:t>
      </w:r>
      <w:r>
        <w:rPr>
          <w:rFonts w:ascii="Times New Roman" w:cs="Times New Roman" w:eastAsia="Times New Roman" w:hAnsi="Times New Roman"/>
          <w:sz w:val="18"/>
          <w:szCs w:val="18"/>
          <w:b w:val="1"/>
          <w:bCs w:val="1"/>
          <w:color w:val="auto"/>
        </w:rPr>
        <w:t>Buy-In</w:t>
      </w:r>
      <w:r>
        <w:rPr>
          <w:rFonts w:ascii="Times New Roman" w:cs="Times New Roman" w:eastAsia="Times New Roman" w:hAnsi="Times New Roman"/>
          <w:sz w:val="18"/>
          <w:szCs w:val="18"/>
          <w:color w:val="auto"/>
        </w:rPr>
        <w:t xml:space="preserve">”), then the Company shall, within two Trading Days after the Holder’s request, in the Holder’s sole discretion, either (i) pay in cash to the Holder an amount equal to the Holder’s total purchase price (including commercially reasonable brokerage commissions, if any) for the Class A Ordinary Shares so purchased, at which point the Company’s obligation to deliver such Warrant Shares shall terminate, or (ii) (A) pay in cash to the Holder the amount, if any, by which (1) the Holder’s total purchase price (including commercially reasonable brokerage commissions, if any) for the Class A Ordinary Shares purchased in the Buy-In exceeds (2) the product of (x) the number of Warrant Shares that the Company was required to deliver to the Holder in connection with the exercise at issue, times (y) the price at which the sell order giving rise to such purchase obligation was executed (assuming such sale was executed on commercially reasonable terms at prevailing market prices and, if the sale was executed in multiple transactions, the volume weighted average price), and (B) at the option of the Holder, either (1) reinstate the portion of the Warrant and equivalent number of Warrant Shares for which such exercise was not honored (in which case such exercise shall be deemed rescinded) or (2) deliver to the Holder the number of Class A Ordinary Shares that would have been issued had the Company timely complied with its exercise and delivery obligations hereunder. The provisions of this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shall be the only remedy available to the Holder in the event the Company fails to deliver to the Holder the required number of Warrant Shares in the manner required pursuant to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a Buy-In occurs. Irrespective of whether there is a Buy-In, no remedy shall be available, notwithstanding the requirements of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unless and until the Company fails to deliver to the Holder the required number of Warrant Shares by the close of the first Trading Day after the Exercise Date.</w:t>
      </w:r>
    </w:p>
    <w:p>
      <w:pPr>
        <w:spacing w:after="0" w:line="187"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71"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permitted by law and subject to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Company’s obligations to issue and deliver Warrant Shares in accordance with and subject to the terms hereof (including the limitations set forth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below)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or any breach or alleged breach by the Holder or any other Person of any obligation to the Company or any violation or alleged violation of law by the Holder or any other Person, and irrespective of any other circumstance that might otherwise limit such obligation of the Company to the Holder in connection with the issuance of Warrant Shares. Subject to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nothing herein shall limit the Holder’s right to pursue any other remedies available to it hereunder, at law or in equity including, without limitation, a decree of specific performance and/or injunctive relief with respect to the Company’s failure to timely deliver certificates or a book entry position representing Class A Ordinary Shares upon exercise of the Warrant as required pursuant to the terms hereof.</w:t>
      </w:r>
    </w:p>
    <w:p>
      <w:pPr>
        <w:spacing w:after="0" w:line="18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6 CHARGES, TAXES AND EXPENSES</w:t>
      </w:r>
      <w:r>
        <w:rPr>
          <w:rFonts w:ascii="Times New Roman" w:cs="Times New Roman" w:eastAsia="Times New Roman" w:hAnsi="Times New Roman"/>
          <w:sz w:val="18"/>
          <w:szCs w:val="18"/>
          <w:color w:val="auto"/>
        </w:rPr>
        <w:t>. Issuance and delivery of a book entry position for Class A Ordinary Shares upon exercise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 shall be made without charge to the Holder for any issue or transfer tax, transfer agent fee or other incidental tax or expense (excluding any applicable stamp duties) in respect of the issuance of such book entry shares, all of which taxes and expenses shall be paid by the Company; provided, however, that the Company shall not be required to pay any tax that may be payable in respect of any transfer involved in the registration of any certificates for Warrant Shares or the Warrants in a name other than that of the Holder or an Affiliate thereof. The Holder shall be responsible for all other tax liability that may arise as a result of holding or transferring this Warrant or receiving Warrant Shares upon exercise hereof.</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4" w:name="page65"/>
    <w:bookmarkEnd w:id="64"/>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7 REPLACEMENT OF WARRANT</w:t>
      </w:r>
      <w:r>
        <w:rPr>
          <w:rFonts w:ascii="Times New Roman" w:cs="Times New Roman" w:eastAsia="Times New Roman" w:hAnsi="Times New Roman"/>
          <w:sz w:val="18"/>
          <w:szCs w:val="18"/>
          <w:color w:val="auto"/>
        </w:rPr>
        <w:t>. If this Warrant is mutilated, lost, stolen, or destroyed, the Company shall issue or cause to be issued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and substitution for and upon cancellation hereof, or in lieu of and substitution for this Warrant, a New Warrant, but only upon receipt of evidence reasonably satisfactory to the Company of such loss, theft, or destruction (in such case) and, in each case, a customary and reasonable indemnity and surety bond if requested by the Company. Applicants for a New Warrant under such circumstances shall also comply with such other reasonable regulations and procedures and pay such other reasonable third-party costs as the Company may prescribe. If a New Warrant is requested as a result of a mutilation of this Warrant, then the Holder shall deliver such mutilated Warrant to the Company as a condition precedent to the Company’s obligation to issue the New Warrant.</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8 RESERVATION OF WARRANT SHARES</w:t>
      </w:r>
      <w:r>
        <w:rPr>
          <w:rFonts w:ascii="Times New Roman" w:cs="Times New Roman" w:eastAsia="Times New Roman" w:hAnsi="Times New Roman"/>
          <w:sz w:val="18"/>
          <w:szCs w:val="18"/>
          <w:color w:val="auto"/>
        </w:rPr>
        <w:t>. The Company covenants that it will at all times while this Warrant is outstanding reserve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keep available out of the aggregate of its authorized but unissued and otherwise unreserved Class A Ordinary Shares, solely for the purpose of enabling it to issue Warrant Shares upon exercise of this Warrant as herein provided, the number of Warrant Shares that are then issuable and deliverable upon the exercise of this Warrant, free from preemptive rights or any other contingent purchase rights of persons other than the Holder (taking into account the adjustments and restrictions of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The Company covenants that all Warrant Shares so issuable and deliverable shall, upon issuance and the payment of the applicable Exercise Price in accordance with the terms hereof, be duly and validly authorized, issued and fully paid, and nonassessable. The Company will take all such action as may be reasonably necessary to assure that such Class A Ordinary Shares may be issued as provided herein without violation of any applicable law or regulation or of any requirements of any securities exchange or automated quotation system upon which the Class A Ordinary Shares may be listed.</w:t>
      </w:r>
    </w:p>
    <w:p>
      <w:pPr>
        <w:spacing w:after="0" w:line="18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9 CERTAIN ADJUSTMENTS</w:t>
      </w:r>
      <w:r>
        <w:rPr>
          <w:rFonts w:ascii="Times New Roman" w:cs="Times New Roman" w:eastAsia="Times New Roman" w:hAnsi="Times New Roman"/>
          <w:sz w:val="18"/>
          <w:szCs w:val="18"/>
          <w:color w:val="auto"/>
        </w:rPr>
        <w:t>. The number of Warrant Shares issuable upon exercise of this Warrant is subject to adjustment from time to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as set forth in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firstLine="1304"/>
        <w:spacing w:after="0" w:line="253" w:lineRule="auto"/>
        <w:tabs>
          <w:tab w:leader="none" w:pos="1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If the Company, at any time while this Warrant is outstanding, (i) pays a stock dividend on its Class A Ordinary Shares or otherwise makes a distribution on any class of capital stock issued and outstanding on the Original Issue Date and in accordance with the terms of such shares on the Original Issue Date or as amended, that is payable in Class A Ordinary Shares, (ii) subdivides its outstanding Class A Ordinary Shares into a larger number of Class A Ordinary Shares, (iii) combines its outstanding Class A Ordinary Shares into a smaller number of Class A Ordinary Shares or (iv) issues by reclassification of shares of capital stock any additional Class A Ordinary Shares of the Company, then in each such case the number of Warrant Shares then underlying this Warrant shall be divided by a fraction, the numerator of which shall be the number of Class A Ordinary Shares outstanding immediately before such event and the denominator of which shall be the number of Class A Ordinary Shares outstanding immediately after such event. Any adjustment made pursuant to clause (i) of this paragraph shall become effective immediately after the record date for the determination of shareholders entitled to receive such dividend or distribution, provided, however, that if such record date shall have been fixed and such dividend is not fully paid on the date fixed therefor, the number of Warrant Shares shall be recomputed accordingly as of the close of business on such record date and thereafter the Warrant Shares shall be adjusted pursuant to this paragraph as of the time of actual payment of such dividends. Any adjustment pursuant to clause (ii) or (iii) of this paragraph shall become effective immediately after the effective date of such subdivision or combination.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5" w:name="page66"/>
    <w:bookmarkEnd w:id="65"/>
    <w:p>
      <w:pPr>
        <w:jc w:val="both"/>
        <w:ind w:firstLine="1304"/>
        <w:spacing w:after="0" w:line="253" w:lineRule="auto"/>
        <w:tabs>
          <w:tab w:leader="none" w:pos="1551"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If the Company, at any time while this Warrant is outstanding, distributes to all holders of Class A Ordinary Shares for no consideration (i) evidences of its indebtedness, (ii) any security (other than a distribution of Class A Ordinary Shares covered by the preceding paragraph), (iii) rights or warrants to subscribe for or purchase any security, or (iv) cash or any other asset (in each case, “</w:t>
      </w:r>
      <w:r>
        <w:rPr>
          <w:rFonts w:ascii="Times New Roman" w:cs="Times New Roman" w:eastAsia="Times New Roman" w:hAnsi="Times New Roman"/>
          <w:sz w:val="18"/>
          <w:szCs w:val="18"/>
          <w:b w:val="1"/>
          <w:bCs w:val="1"/>
          <w:color w:val="auto"/>
        </w:rPr>
        <w:t>Distributed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then, upon any exercise of this Warrant that occurs after the record date fixed for determination of shareholders entitled to receive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distribution, the Holder shall be entitled to receive, in addition to the Warrant Shares otherwise issuable upon such exercise (if applicable), the Distributed Property that such Holder would have been entitled to receive in respect of such number of Warrant Shares had the Holder been the record holder of such Warrant Shares immediately prior to such record date without regard to any limitation on exercise contained therein; provided, that to the extent that the Holder’s right to participate in any such distribution would result in the Holder and the other Attribution Parties exceeding the Maximum Percentage, then the Holder shall not be entitled to participate in such distribution to such extent (and shall not be entitled to beneficial ownership of such Class A Ordinary Shares as a result of such distribution to such extent) and the portion of such distribution shall be held in abeyance for the benefit of the Holder until such time or times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spacing w:after="0" w:line="187"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67"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If at any time while this Warrant is outstanding, the Company grants, issues or sells any Options, Convertible Securities or rights to purchase shares, warrants, securities or other property, in each case pro rata to the record holders of Class A Ordinary Shares (the “</w:t>
      </w:r>
      <w:r>
        <w:rPr>
          <w:rFonts w:ascii="Times New Roman" w:cs="Times New Roman" w:eastAsia="Times New Roman" w:hAnsi="Times New Roman"/>
          <w:sz w:val="18"/>
          <w:szCs w:val="18"/>
          <w:b w:val="1"/>
          <w:bCs w:val="1"/>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Class A Ordinary Shares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Class A Ordinary Shares are to be determined for the grant, issuance or sale of such Purchase Rights; provided, that to the extent that the Holder’s right to participate in any such Purchase Right would result in the Holder and the other Attribution Parties exceeding the Maximum Percentage, then the Holder shall not be entitled to participate in such Purchase Right to such extent (and shall not be entitled to beneficial ownership of such Class A Ordinary Shares as a result of such Purchase Right (and beneficial ownership) to such extent) and at the Holder’s election, in its sole discretion, either (1) such Purchase Right to such extent shall be held in abeyance for the benefit of the Holder until such time or times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to be held similarly in abeyance) to the same extent as if there had been no such limitation or (2) the Company shall offer the Holder the right upon exercise of such Purchase Right to acquire a security (e.g. a pre-funded warrant) that would not result in the Holder and the other Attribution Parties exceeding the Maximum Percentage but will otherwise to the extent possible have economic and other rights, preferences and privileges substantially consistent and on par with the securities or other property issuable upon exercise of the originally offered Purchase Rights. As used in this Section 9(c), (i) “Options” means any rights, warrants or options to subscribe for or purchase Class A Ordinary Shares or Convertible Securities and (ii) “Convertible Securities” mean any shares or securities (other than Options) directly or indirectly convertible into or exercisable or exchangeable for Class A Ordinary Shares.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6" w:name="page67"/>
    <w:bookmarkEnd w:id="66"/>
    <w:p>
      <w:pPr>
        <w:jc w:val="both"/>
        <w:ind w:firstLine="1304"/>
        <w:spacing w:after="0" w:line="255" w:lineRule="auto"/>
        <w:tabs>
          <w:tab w:leader="none" w:pos="1551"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Transactions</w:t>
      </w:r>
      <w:r>
        <w:rPr>
          <w:rFonts w:ascii="Times New Roman" w:cs="Times New Roman" w:eastAsia="Times New Roman" w:hAnsi="Times New Roman"/>
          <w:sz w:val="18"/>
          <w:szCs w:val="18"/>
          <w:color w:val="auto"/>
        </w:rPr>
        <w:t>. If, at any time while this Warrant is outstanding (i) the Company effects any merger or consolidation of the Company with or into another Person, in which the Company is not the surviving entity or in which the shareholders of the Company immediately prior to such merger or consolidation do not own, directly or indirectly, at least 50% of the voting power of the surviving entity immediately after such merger or consolidation, (ii) the Company effects any sale to another Person of all or substantially all of its assets in one transaction or a series of related transactions,</w:t>
      </w:r>
    </w:p>
    <w:p>
      <w:pPr>
        <w:spacing w:after="0" w:line="2" w:lineRule="exact"/>
        <w:rPr>
          <w:rFonts w:ascii="Times New Roman" w:cs="Times New Roman" w:eastAsia="Times New Roman" w:hAnsi="Times New Roman"/>
          <w:sz w:val="18"/>
          <w:szCs w:val="18"/>
          <w:color w:val="auto"/>
        </w:rPr>
      </w:pPr>
    </w:p>
    <w:p>
      <w:pPr>
        <w:jc w:val="both"/>
        <w:ind w:firstLine="8"/>
        <w:spacing w:after="0" w:line="250" w:lineRule="auto"/>
        <w:tabs>
          <w:tab w:leader="none" w:pos="32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any tender offer or exchange offer (whether by the Company or another Person), holders of capital stock tender shares representing more than 50% of the voting power of the capital stock of the Company and the Company or such other Person, as applicable, accepts such tender for payment,</w:t>
      </w:r>
    </w:p>
    <w:p>
      <w:pPr>
        <w:jc w:val="both"/>
        <w:ind w:firstLine="8"/>
        <w:spacing w:after="0" w:line="251" w:lineRule="auto"/>
        <w:tabs>
          <w:tab w:leader="none" w:pos="30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consummates a stock purchase agreement or other business combination (including, without limitation, a reorganization, recapitalization, spin-off or scheme of arrangement) with another Person whereby such other Person acquires more than 50% of the voting power of the capital stock of the Company (except for any such transaction in which the shareholders of the Company immediately prior to such transaction maintain, in substantially the same proportions, the voting power of such Person immediately after the transaction) or (v) the Company effects any reclassification of the Class A Ordinary Shares or any compulsory share exchange pursuant to which the Class A Ordinary Shares are effectively converted into or exchanged for other securities, cash or property (other than as a result of a subdivision or combination of Class A Ordinary Shares covered by </w:t>
      </w:r>
      <w:r>
        <w:rPr>
          <w:rFonts w:ascii="Times New Roman" w:cs="Times New Roman" w:eastAsia="Times New Roman" w:hAnsi="Times New Roman"/>
          <w:sz w:val="18"/>
          <w:szCs w:val="18"/>
          <w:u w:val="single" w:color="auto"/>
          <w:color w:val="auto"/>
        </w:rPr>
        <w:t>Section 9(a)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above) (in any such case, a “</w:t>
      </w:r>
      <w:r>
        <w:rPr>
          <w:rFonts w:ascii="Times New Roman" w:cs="Times New Roman" w:eastAsia="Times New Roman" w:hAnsi="Times New Roman"/>
          <w:sz w:val="18"/>
          <w:szCs w:val="18"/>
          <w:b w:val="1"/>
          <w:bCs w:val="1"/>
          <w:color w:val="auto"/>
        </w:rPr>
        <w:t>Fundamental Transaction</w:t>
      </w:r>
      <w:r>
        <w:rPr>
          <w:rFonts w:ascii="Times New Roman" w:cs="Times New Roman" w:eastAsia="Times New Roman" w:hAnsi="Times New Roman"/>
          <w:sz w:val="18"/>
          <w:szCs w:val="18"/>
          <w:color w:val="auto"/>
        </w:rPr>
        <w:t>”), then following such Fundamental Transaction the Holder shall have the right to receive, upon exercise of this Warrant, the same amount and kind of securities, cash or property as it would have been entitled to receive upon the occurrence of such Fundamental Transaction if it had been, immediately prior to such Fundamental Transaction, the holder of the number of Warrant Shares then issuable upon exercise in full of this Warrant without regard to any limitations on exercise contained herein (the “</w:t>
      </w:r>
      <w:r>
        <w:rPr>
          <w:rFonts w:ascii="Times New Roman" w:cs="Times New Roman" w:eastAsia="Times New Roman" w:hAnsi="Times New Roman"/>
          <w:sz w:val="18"/>
          <w:szCs w:val="18"/>
          <w:b w:val="1"/>
          <w:bCs w:val="1"/>
          <w:color w:val="auto"/>
        </w:rPr>
        <w:t>Alternate Consideration</w:t>
      </w:r>
      <w:r>
        <w:rPr>
          <w:rFonts w:ascii="Times New Roman" w:cs="Times New Roman" w:eastAsia="Times New Roman" w:hAnsi="Times New Roman"/>
          <w:sz w:val="18"/>
          <w:szCs w:val="18"/>
          <w:color w:val="auto"/>
        </w:rPr>
        <w:t xml:space="preserve">”). The Company shall not effect any Fundamental Transaction in which the Company is not the surviving entity or the Alternate Consideration includes securities of another Person unless (x) the Alternate Consideration is solely cash and the Company provides for the simultaneous “cashless exercise” of this Warrant pursuant to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below or (y) prior to, simultaneously with or promptly following the consummation thereof, any successor to the Company, surviving entity or other Person (including any purchaser of assets of the Company) shall assume the obligation to deliver to the Holder, such Alternate Consideration as, in accordance with the foregoing provisions, the Holder may be entitled to receive, and the other obligations under this Warrant. The provisions of this paragraph (d) shall similarly apply to subsequent transactions analogous to a Fundamental Transaction type.</w:t>
      </w:r>
    </w:p>
    <w:p>
      <w:pPr>
        <w:spacing w:after="0" w:line="186"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xml:space="preserve">. All calculations under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shall be made to the nearest share, as applicable.</w:t>
      </w:r>
    </w:p>
    <w:p>
      <w:pPr>
        <w:spacing w:after="0" w:line="225" w:lineRule="exact"/>
        <w:rPr>
          <w:rFonts w:ascii="Times New Roman" w:cs="Times New Roman" w:eastAsia="Times New Roman" w:hAnsi="Times New Roman"/>
          <w:sz w:val="18"/>
          <w:szCs w:val="18"/>
          <w:color w:val="auto"/>
        </w:rPr>
      </w:pPr>
    </w:p>
    <w:p>
      <w:pPr>
        <w:jc w:val="both"/>
        <w:ind w:firstLine="1304"/>
        <w:spacing w:after="0" w:line="259" w:lineRule="auto"/>
        <w:tabs>
          <w:tab w:leader="none" w:pos="1534"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Adjustments</w:t>
      </w:r>
      <w:r>
        <w:rPr>
          <w:rFonts w:ascii="Times New Roman" w:cs="Times New Roman" w:eastAsia="Times New Roman" w:hAnsi="Times New Roman"/>
          <w:sz w:val="18"/>
          <w:szCs w:val="18"/>
          <w:color w:val="auto"/>
        </w:rPr>
        <w:t xml:space="preserve">. Upon the occurrence of each adjustment pursuant to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the Company at its expense will, at the written request of the Holder, promptly compute such adjustment, in good faith, in accordance with the terms of this Warrant and prepare a certificate setting forth such adjustment, including a statement of the adjusted number or type of Warrant Shares or other securities issuable upon exercise of this Warrant (as applicable), describing the transactions giving rise to such adjustments and showing in detail the facts upon which such adjustment is based. Upon written request, the Company will promptly deliver a copy of each such certificate to the Holder and to the Transfer Agent.</w:t>
      </w:r>
    </w:p>
    <w:p>
      <w:pPr>
        <w:spacing w:after="0" w:line="183"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64"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Corporate Events</w:t>
      </w:r>
      <w:r>
        <w:rPr>
          <w:rFonts w:ascii="Times New Roman" w:cs="Times New Roman" w:eastAsia="Times New Roman" w:hAnsi="Times New Roman"/>
          <w:sz w:val="18"/>
          <w:szCs w:val="18"/>
          <w:color w:val="auto"/>
        </w:rPr>
        <w:t xml:space="preserve">. If, while this Warrant is outstanding, the Company (i) declares a dividend or any other distribution of cash, securities or other property in respect of its Class A Ordinary Shares, including, without limitation, any granting of rights or warrants to subscribe for or purchase any capital stock of the Company or any subsidiary, (ii) enters into any definitive agreement contemplating or soliciting shareholder approval for any Fundamental Transaction or (iii) authorizes the voluntary dissolution, liquidation or winding up of the affairs of the Company, then, except if such notice and the contents thereof shall be deemed to constitute material non-public information, the Company shall deliver to the Holder a notice of such transaction at least ten (10) days prior to the applicable record or effective date on which a Person would need to hold Class A Ordinary Shares in order to participate in or vote with respect to such transaction;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failure to deliver such notice or any defect therein shall not affect the validity of the corporate action required to be described in such notice. In addition, if while this Warrant is outstanding, the Company enters into any definitive agreement contemplating or solicits shareholder approval for any Fundamental Transaction contemplated by </w:t>
      </w:r>
      <w:r>
        <w:rPr>
          <w:rFonts w:ascii="Times New Roman" w:cs="Times New Roman" w:eastAsia="Times New Roman" w:hAnsi="Times New Roman"/>
          <w:sz w:val="18"/>
          <w:szCs w:val="18"/>
          <w:u w:val="single" w:color="auto"/>
          <w:color w:val="auto"/>
        </w:rPr>
        <w:t>Section 9(d)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other than a Fundamental Transaction under clause (iii) of </w:t>
      </w:r>
      <w:r>
        <w:rPr>
          <w:rFonts w:ascii="Times New Roman" w:cs="Times New Roman" w:eastAsia="Times New Roman" w:hAnsi="Times New Roman"/>
          <w:sz w:val="18"/>
          <w:szCs w:val="18"/>
          <w:u w:val="single" w:color="auto"/>
          <w:color w:val="auto"/>
        </w:rPr>
        <w:t>Section 9(d)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Company shall deliver to the Holder a notice of such Fundamental Transaction at least ten (10) days prior to the date such Fundamental Transaction is consummated. Holder agrees to maintain any information disclosed pursuant to this </w:t>
      </w:r>
      <w:r>
        <w:rPr>
          <w:rFonts w:ascii="Times New Roman" w:cs="Times New Roman" w:eastAsia="Times New Roman" w:hAnsi="Times New Roman"/>
          <w:sz w:val="18"/>
          <w:szCs w:val="18"/>
          <w:u w:val="single" w:color="auto"/>
          <w:color w:val="auto"/>
        </w:rPr>
        <w:t>Section</w:t>
      </w:r>
    </w:p>
    <w:p>
      <w:pPr>
        <w:spacing w:after="0" w:line="3" w:lineRule="exact"/>
        <w:rPr>
          <w:rFonts w:ascii="Times New Roman" w:cs="Times New Roman" w:eastAsia="Times New Roman" w:hAnsi="Times New Roman"/>
          <w:sz w:val="18"/>
          <w:szCs w:val="18"/>
          <w:color w:val="auto"/>
        </w:rPr>
      </w:pPr>
    </w:p>
    <w:p>
      <w:pPr>
        <w:ind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9(g)</w:t>
      </w:r>
      <w:r>
        <w:rPr>
          <w:rFonts w:ascii="Times New Roman" w:cs="Times New Roman" w:eastAsia="Times New Roman" w:hAnsi="Times New Roman"/>
          <w:sz w:val="18"/>
          <w:szCs w:val="18"/>
          <w:color w:val="auto"/>
        </w:rPr>
        <w:t xml:space="preserve"> in confidence until such information is publicly available and shall comply with applicable law with respect to trading in the Company’s securities following receipt of any such information.</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7" w:name="page68"/>
    <w:bookmarkEnd w:id="67"/>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10 PAYMENT OF EXERCISE PRICE</w:t>
      </w:r>
      <w:r>
        <w:rPr>
          <w:rFonts w:ascii="Times New Roman" w:cs="Times New Roman" w:eastAsia="Times New Roman" w:hAnsi="Times New Roman"/>
          <w:sz w:val="18"/>
          <w:szCs w:val="18"/>
          <w:color w:val="auto"/>
        </w:rPr>
        <w:t>. Notwithstanding anything contained herein to the contrary, the Holder may, in its sole discretion, satisfy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obligation to pay the Exercise Price through a “cashless exercise,” in which event the Company shall issue to the Holder the number of Warrant Shares determined as follows: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 = Y [(A-B)/A]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 equals the number of Warrant Shares to be issued to the Holder;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Y</w:t>
      </w:r>
      <w:r>
        <w:rPr>
          <w:rFonts w:ascii="Times New Roman" w:cs="Times New Roman" w:eastAsia="Times New Roman" w:hAnsi="Times New Roman"/>
          <w:sz w:val="18"/>
          <w:szCs w:val="18"/>
          <w:color w:val="auto"/>
        </w:rPr>
        <w:t>” equals the total number of Warrant Shares with respect to which this Warrant is then being exercised;</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equals the last VWAP immediately preceding the time of delivery of the Exercise Notice giving rise to the applicable “cashless exercise,” as set forth in the applicable Exercise Notice (to clarify, the “last VWAP” will be the last VWAP as calculated over an entire Trading Day such that, in the event that this Warrant is exercised at a time that the Principal Trading Market is open, the prior Trading Day’s VWAP shall be used in this calculation); and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equals the Exercise Price then in effect for the applicable Warrant Shares at the time of such exercise.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purposes of Rule 144 promulgated under the Securities Act, it is intended, understood, and acknowledged that the Warrant Shares issued in a “cashless exercise” transaction shall be deemed to have been acquired by the Holder, and the holding period for the Warrant Shares shall be deemed to have commenced, on the date this Warrant was originally issued (provided that the Commission continues to take the position that such treatment is proper at the time of such exercise).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(payment of cash in lieu of fractional shares), in no event will the exercise of this Warrant be settled in cash.</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11 LIMITATIONS ON EXERCISE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304"/>
        <w:spacing w:after="0" w:line="251" w:lineRule="auto"/>
        <w:tabs>
          <w:tab w:leader="none" w:pos="1547"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any Section herein, the Company shall not effect any exercise of this Warrant, and the Holder shall not be entitled to exercise this Warrant for a number of Warrant Shares in excess of that number of Warrant Shares which, upon giving effect to such exercise, would cause (i) the aggregate number of Class A Ordinary Shares beneficially owned by the Holder and the other Attribution Parties, to exceed [4.99][9.99% (or, at the election of the Holder prior to the issuance of the Warrant, 4.99%)] (the “</w:t>
      </w:r>
      <w:r>
        <w:rPr>
          <w:rFonts w:ascii="Times New Roman" w:cs="Times New Roman" w:eastAsia="Times New Roman" w:hAnsi="Times New Roman"/>
          <w:sz w:val="18"/>
          <w:szCs w:val="18"/>
          <w:b w:val="1"/>
          <w:bCs w:val="1"/>
          <w:color w:val="auto"/>
        </w:rPr>
        <w:t>Maximum Percentage</w:t>
      </w:r>
      <w:r>
        <w:rPr>
          <w:rFonts w:ascii="Times New Roman" w:cs="Times New Roman" w:eastAsia="Times New Roman" w:hAnsi="Times New Roman"/>
          <w:sz w:val="18"/>
          <w:szCs w:val="18"/>
          <w:color w:val="auto"/>
        </w:rPr>
        <w:t>”) of the total number of issued and outstanding Class A Ordinary Shares of the Company following such exercise, or (ii) the combined voting power of the securities of the Company beneficially owned by the Holder and the other Attribution Parties to exceed 9.99% of the combined voting power of all of the securities of the Company then outstanding following such exercise. For purposes of this Warrant, in determining the number of outstanding Class A Ordinary Shares, the Holder may rely on the number of outstanding Class A Ordinary Shares as reflected in (x) the Company’s most recent Quarterly Report on Form 10-Q or Annual Report on Form 10-K, as the case may be, filed with the Commission prior to the date hereof, (y) a more recent public announcement by the Company or (z) any other notice by the Company or its transfer agent setting forth the number of Class A Ordinary Shares outstanding. Upon the written request of the Holder, the Company shall within three (3) Trading Days confirm in writing or by electronic mail to the Holder the number of Class A Ordinary Shares then outstanding. In any case, the number of outstanding Class A Ordinary Shares shall be determined after giving effect to the conversion or exercise of securities of the Company, including this Warrant, by the Holder since the date as of which such number of outstanding Class A Ordinary Shares was reported. By written notice to the Company, the Holder may from time to time increase or decrease the Maximum Percentage to any other percentage specified not in excess of 19.99% (the “</w:t>
      </w:r>
      <w:r>
        <w:rPr>
          <w:rFonts w:ascii="Times New Roman" w:cs="Times New Roman" w:eastAsia="Times New Roman" w:hAnsi="Times New Roman"/>
          <w:sz w:val="18"/>
          <w:szCs w:val="18"/>
          <w:b w:val="1"/>
          <w:bCs w:val="1"/>
          <w:color w:val="auto"/>
        </w:rPr>
        <w:t>Maximum Cap</w:t>
      </w:r>
      <w:r>
        <w:rPr>
          <w:rFonts w:ascii="Times New Roman" w:cs="Times New Roman" w:eastAsia="Times New Roman" w:hAnsi="Times New Roman"/>
          <w:sz w:val="18"/>
          <w:szCs w:val="18"/>
          <w:color w:val="auto"/>
        </w:rPr>
        <w:t>”) in such notice; provided that any such increase will not be effective until the sixty-</w:t>
      </w:r>
    </w:p>
    <w:p>
      <w:pPr>
        <w:spacing w:after="0" w:line="1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first (61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day after such notice is delivered to the Company; provided, that the Maximum Cap shall only apply to the extent required by Nasdaq Marketplace Rule 5635(b) and if the Maximum Cap is not applicable then the Warrant shall be fully exercisable. For purposes of this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the aggregate number of Class A Ordinary Shares or voting securities beneficially owned by the Holder and the other Attribution Parties shall include the Class A Ordinary Shares issuable upon the exercise of this Warrant with respect to which such determination is being made, but shall exclude the number of Class A Ordinary Shares which would be issuable upon (x) exercise of the remaining unexercised and non-cancelled portion of this Warrant by the Holder and (y) exercise or conversion of the unexercised, non-converted or non-cancelled portion of any other securities of the Company that do not have voting power (including, without limitation, any securities of the Company which would entitle the holder thereof to acquire at any time Class A Ordinary Shares, including, without limitation, any debt, preferred shares, right, option, warrant or other instrument that is at any time convertible into or exercisable or exchangeable for, or otherwise entitles the holder thereof to receive, Class A Ordinary Shares), is subject to a limitation on conversion or exercise analogous to the limitation contained herein and is beneficially owned by the Holder and the other Attribution Parties.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8" w:name="page69"/>
    <w:bookmarkEnd w:id="68"/>
    <w:p>
      <w:pPr>
        <w:jc w:val="both"/>
        <w:ind w:firstLine="1304"/>
        <w:spacing w:after="0" w:line="268" w:lineRule="auto"/>
        <w:tabs>
          <w:tab w:leader="none" w:pos="1561"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shall not restrict the number of Class A Ordinary Shares that a Holder may receive or beneficially own in order to determine the amount of securities or other consideration that such Holder may receive in the event of a Fundamental Transaction as contemplated in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this Warrant.</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12 NO FRACTIONAL SHARES</w:t>
      </w:r>
      <w:r>
        <w:rPr>
          <w:rFonts w:ascii="Times New Roman" w:cs="Times New Roman" w:eastAsia="Times New Roman" w:hAnsi="Times New Roman"/>
          <w:sz w:val="18"/>
          <w:szCs w:val="18"/>
          <w:color w:val="auto"/>
        </w:rPr>
        <w:t>. No fractional Warrant Shares will be issued in connection with any exercise of this Warrant. In lieu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fractional shares that would otherwise be issuable, the number of Warrant Shares to be issued shall be rounded down to the next whole number and the Company shall pay the Holder in cash the fair market value (based on the last VWAP immediately preceding the time of delivery of the applicable Exercise Notice) for any such fractional shares.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13 NOTICES</w:t>
      </w:r>
      <w:r>
        <w:rPr>
          <w:rFonts w:ascii="Times New Roman" w:cs="Times New Roman" w:eastAsia="Times New Roman" w:hAnsi="Times New Roman"/>
          <w:sz w:val="18"/>
          <w:szCs w:val="18"/>
          <w:color w:val="auto"/>
        </w:rPr>
        <w:t>. Any and all notices or other communications or deliveries hereunder (including, without limitation, any Exercise Notice)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writing and shall be deemed given and effective on the earliest of (i) the date of transmission, if such notice or communication is delivered via confirmed e-mail at the e-mail address specified below prior to 4:00 P.M., New York City time, on a Trading Day, (ii) the next Trading Day after the date of transmission, if such notice or communication is delivered via confirmed e-mail at the e-mail address specified below on a day that is not a Trading Day or later than 4:00 P.M., New York City time, on any Trading Day, (iii) the second Trading Day following the date of mailing, if sent by nationally recognized overnight courier service specifying next business day delivery, or (iv) upon actual receipt by the Person to whom such notice is required to be given, if by hand delivery. The e-mail address for purposes of providing notice hereunder is: m.bodenstedt@moonlaketx.com.</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14 WARRANT AGENT</w:t>
      </w:r>
      <w:r>
        <w:rPr>
          <w:rFonts w:ascii="Times New Roman" w:cs="Times New Roman" w:eastAsia="Times New Roman" w:hAnsi="Times New Roman"/>
          <w:sz w:val="18"/>
          <w:szCs w:val="18"/>
          <w:color w:val="auto"/>
        </w:rPr>
        <w:t>. The Company shall initially serve as warrant agent under this Warrant. Upon ten (10) days’ notice to the Holder,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may appoint a new warrant agent. Any corporation into which the Company or any new warrant agent may be merged, or any corporation resulting from any consolidation to which the Company or any new warrant agent shall be a party, or any corporation to which the Company or any new warrant agent transfers substantially all of its corporate trust or shareholders services business shall be a successor warrant agent under this Warrant without any further act. Any such successor warrant agent shall promptly cause notice of its succession as warrant agent to be mailed (by first class mail, postage prepaid) to the Holder at the Holder’s last address as shown on the Warrant Register.</w:t>
      </w:r>
    </w:p>
    <w:p>
      <w:pPr>
        <w:spacing w:after="0" w:line="182" w:lineRule="exact"/>
        <w:rPr>
          <w:sz w:val="20"/>
          <w:szCs w:val="20"/>
          <w:color w:val="auto"/>
        </w:rPr>
      </w:pPr>
    </w:p>
    <w:p>
      <w:pPr>
        <w:ind w:left="880" w:hanging="224"/>
        <w:spacing w:after="0"/>
        <w:tabs>
          <w:tab w:leader="none" w:pos="88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firstLine="1304"/>
        <w:spacing w:after="0" w:line="254" w:lineRule="auto"/>
        <w:tabs>
          <w:tab w:leader="none" w:pos="154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a Shareholder.</w:t>
      </w:r>
      <w:r>
        <w:rPr>
          <w:rFonts w:ascii="Times New Roman" w:cs="Times New Roman" w:eastAsia="Times New Roman" w:hAnsi="Times New Roman"/>
          <w:sz w:val="18"/>
          <w:szCs w:val="18"/>
          <w:color w:val="auto"/>
        </w:rPr>
        <w:t xml:space="preserve">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shareholder of the Company or any right to vote, give or withhold consent to any corporate action (whether any reorganization, issue of shares, reclassification of shares, consolidation, merger, amalgamation,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shareholder of the Company, whether such liabilities are asserted by the Company or by creditors of the Company.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9" w:name="page70"/>
    <w:bookmarkEnd w:id="69"/>
    <w:p>
      <w:pPr>
        <w:jc w:val="both"/>
        <w:ind w:firstLine="1304"/>
        <w:spacing w:after="0" w:line="254" w:lineRule="auto"/>
        <w:tabs>
          <w:tab w:leader="none" w:pos="157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 Except and to the extent as waived or consented to by the Holder, the Company shall not, by any action, including, without limitation, amend its articles of association or effect any reorganization, transfer of assets, consolidation, merger, dissolution, issue, or sale of securities or any other voluntary action to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88"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5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compliance with applicable securities laws, this Warrant may be assigned by the Holder. This Warrant may not be assigned by the Company without the written consent of the Holder except to a successor in the event of a Fundamental Transaction. This Warrant shall be binding on and inure to the benefit of the Company and the Holder and their respective successors and assigns. Subject to the preceding sentence, nothing in this Warrant shall be construed to give to any Person other than the Company and the Holder any legal or equitable right, remedy, or cause of action under this Warrant. This Warrant may be amended only in writing signed by the Company and the Holder, or their successors and assigns.</w:t>
      </w:r>
    </w:p>
    <w:p>
      <w:pPr>
        <w:spacing w:after="0" w:line="187"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Waiver</w:t>
      </w:r>
      <w:r>
        <w:rPr>
          <w:rFonts w:ascii="Times New Roman" w:cs="Times New Roman" w:eastAsia="Times New Roman" w:hAnsi="Times New Roman"/>
          <w:sz w:val="18"/>
          <w:szCs w:val="18"/>
          <w:color w:val="auto"/>
        </w:rPr>
        <w:t>. Except as otherwise provided herein, the provisions of this Warrant may be amended and the Company may take any action herein prohibited, or omit to perform any act herein required to be performed by it, only if the Company has obtained the written consent of the Holder.</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Acceptance</w:t>
      </w:r>
      <w:r>
        <w:rPr>
          <w:rFonts w:ascii="Times New Roman" w:cs="Times New Roman" w:eastAsia="Times New Roman" w:hAnsi="Times New Roman"/>
          <w:sz w:val="18"/>
          <w:szCs w:val="18"/>
          <w:color w:val="auto"/>
        </w:rPr>
        <w:t>. Receipt of this Warrant by the Holder shall constitute acceptance of and agreement to all of the terms and conditions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contained herein.</w:t>
      </w:r>
    </w:p>
    <w:p>
      <w:pPr>
        <w:spacing w:after="0" w:line="206"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4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Jurisdiction</w:t>
      </w:r>
      <w:r>
        <w:rPr>
          <w:rFonts w:ascii="Times New Roman" w:cs="Times New Roman" w:eastAsia="Times New Roman" w:hAnsi="Times New Roman"/>
          <w:sz w:val="18"/>
          <w:szCs w:val="18"/>
          <w:color w:val="auto"/>
        </w:rPr>
        <w:t>. ALL QUESTIONS CONCERNING THE CONSTRUCTION, VALIDITY, ENFORCEMENT, AND INTERPRETATION OF THIS WARRANT SHALL BE GOVERNED BY, AND CONSTRUED AND ENFORCED IN ACCORDANCE WITH, THE LAWS OF THE STATE OF NEW YORK WITHOUT REGARD TO THE PRINCIPLES OF CONFLICTS OF LAW THEREOF. EACH OF THE COMPANY AND THE HOLDER HEREBY IRREVOCABLY SUBMITS TO THE EXCLUSIVE JURISDICTION OF THE STATE AND FEDERAL COURTS SITTING IN THE STATE OF NEW YORK,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ANY SUCH COURT. EACH OF THE COMPANY AND THE HOLDER HEREBY IRREVOCABLY WAIVES PERSONAL SERVICE OF PROCESS AND CONSENTS TO PROCESS BEING SERVED IN ANY SUCH SUIT, ACTION OR PROCEEDING BY MAILING A COPY THEREOF VIA REGISTERED OR CERTIFIED MAIL OR OVERNIGHT DELIVERY (WITH EVIDENCE OF DELIVERY) TO SUCH PERSON AT THE ADDRESS IN EFFECT FOR NOTICES TO IT AND AGREES THAT SUCH SERVICE SHALL CONSTITUTE GOOD AND SUFFICIENT SERVICE OF PROCESS AND NOTICE THEREOF. NOTHING CONTAINED HEREIN SHALL BE DEEMED TO LIMIT IN ANY WAY ANY RIGHT TO SERVE PROCESS IN ANY MANNER PERMITTED BY LAW. EACH OF THE COMPANY AND THE HOLDER HEREBY WAIVES ALL RIGHTS TO A TRIAL BY JURY.</w:t>
      </w:r>
    </w:p>
    <w:p>
      <w:pPr>
        <w:spacing w:after="0" w:line="195" w:lineRule="exact"/>
        <w:rPr>
          <w:rFonts w:ascii="Times New Roman" w:cs="Times New Roman" w:eastAsia="Times New Roman" w:hAnsi="Times New Roman"/>
          <w:sz w:val="18"/>
          <w:szCs w:val="18"/>
          <w:color w:val="auto"/>
        </w:rPr>
      </w:pPr>
    </w:p>
    <w:p>
      <w:pPr>
        <w:ind w:right="20" w:firstLine="1304"/>
        <w:spacing w:after="0" w:line="282" w:lineRule="auto"/>
        <w:tabs>
          <w:tab w:leader="none" w:pos="155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herein are for convenience only, do not constitute a part of this Warrant, and shall not be deemed to limit or affect any of the provisions hereof.</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case any one or more of the provisions of this Warrant shall be invalid or unenforceable in any respect, the validity and enforceability of the remaining terms and provisions of this Warrant shall not in any way be affected or impaired thereby, and the Company and the Holder will attempt in good faith to agree upon a valid and enforceable provision which shall be a commercially reasonable substitute therefor, and upon so agreeing, shall incorporate such substitute provision in this Warrant.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color w:val="auto"/>
        </w:rPr>
        <w:t>IN WITNESS WHEREOF, the Company has caused this Warrant to be duly executed by its authorized officer as of the date first indicated above.</w:t>
      </w:r>
    </w:p>
    <w:p>
      <w:pPr>
        <w:spacing w:after="0" w:line="23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MOONLAKE IMMUNOTHERAPEUTICS</w:t>
      </w:r>
    </w:p>
    <w:p>
      <w:pPr>
        <w:spacing w:after="0" w:line="22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4086225</wp:posOffset>
            </wp:positionH>
            <wp:positionV relativeFrom="paragraph">
              <wp:posOffset>17145</wp:posOffset>
            </wp:positionV>
            <wp:extent cx="263144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434340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80"/>
          </w:cols>
          <w:pgMar w:left="980" w:top="904" w:right="439" w:bottom="1440" w:gutter="0" w:footer="0" w:header="0"/>
        </w:sectPr>
      </w:pPr>
    </w:p>
    <w:bookmarkStart w:id="71" w:name="page72"/>
    <w:bookmarkEnd w:id="71"/>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SCHEDULE 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 OF EXERCISE NOTICE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 be executed by the Holder to purchase Class A Ordinary Shares under the Warrant]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ind w:left="980" w:hanging="324"/>
        <w:spacing w:after="0" w:line="268" w:lineRule="auto"/>
        <w:tabs>
          <w:tab w:leader="none" w:pos="9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is the Holder of Warrant No. ______ (the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issued by MoonLake Immunotherapeutics, a Cayman Islands exempted company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Capitalized terms used herein and not otherwise defined herein have the respective meanings set forth in the Warrant.</w:t>
      </w:r>
    </w:p>
    <w:p>
      <w:pPr>
        <w:spacing w:after="0" w:line="17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exercises its right to purchase Warrant Shares pursuant to the Warrant.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intends that payment of the Exercise Price shall be made as (check one):</w:t>
      </w:r>
    </w:p>
    <w:p>
      <w:pPr>
        <w:spacing w:after="0" w:line="225" w:lineRule="exact"/>
        <w:rPr>
          <w:rFonts w:ascii="Times New Roman" w:cs="Times New Roman" w:eastAsia="Times New Roman" w:hAnsi="Times New Roman"/>
          <w:sz w:val="18"/>
          <w:szCs w:val="18"/>
          <w:color w:val="auto"/>
        </w:rPr>
      </w:pPr>
    </w:p>
    <w:p>
      <w:pPr>
        <w:ind w:left="1620" w:hanging="640"/>
        <w:spacing w:after="0"/>
        <w:tabs>
          <w:tab w:leader="none" w:pos="1620" w:val="left"/>
        </w:tabs>
        <w:numPr>
          <w:ilvl w:val="1"/>
          <w:numId w:val="7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Cash Exercise</w:t>
      </w:r>
    </w:p>
    <w:p>
      <w:pPr>
        <w:spacing w:after="0" w:line="221" w:lineRule="exact"/>
        <w:rPr>
          <w:rFonts w:ascii="MS PGothic" w:cs="MS PGothic" w:eastAsia="MS PGothic" w:hAnsi="MS PGothic"/>
          <w:sz w:val="18"/>
          <w:szCs w:val="18"/>
          <w:color w:val="auto"/>
        </w:rPr>
      </w:pPr>
    </w:p>
    <w:p>
      <w:pPr>
        <w:ind w:left="1620" w:hanging="640"/>
        <w:spacing w:after="0"/>
        <w:tabs>
          <w:tab w:leader="none" w:pos="1620" w:val="left"/>
        </w:tabs>
        <w:numPr>
          <w:ilvl w:val="1"/>
          <w:numId w:val="7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Cashless Exercise</w:t>
      </w:r>
      <w:r>
        <w:rPr>
          <w:rFonts w:ascii="Times New Roman" w:cs="Times New Roman" w:eastAsia="Times New Roman" w:hAnsi="Times New Roman"/>
          <w:sz w:val="18"/>
          <w:szCs w:val="18"/>
          <w:color w:val="auto"/>
        </w:rPr>
        <w:t>” under Section 10 of the Warrant</w:t>
      </w:r>
    </w:p>
    <w:p>
      <w:pPr>
        <w:spacing w:after="0" w:line="229" w:lineRule="exact"/>
        <w:rPr>
          <w:rFonts w:ascii="MS PGothic" w:cs="MS PGothic" w:eastAsia="MS PGothic" w:hAnsi="MS PGothic"/>
          <w:sz w:val="18"/>
          <w:szCs w:val="18"/>
          <w:color w:val="auto"/>
        </w:rPr>
      </w:pPr>
    </w:p>
    <w:p>
      <w:pPr>
        <w:ind w:left="980" w:hanging="324"/>
        <w:spacing w:after="0" w:line="282" w:lineRule="auto"/>
        <w:tabs>
          <w:tab w:leader="none" w:pos="9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Holder has elected a Cash Exercise, the Holder shall pay the sum of $______ in immediately available funds to the Company in accordance with the terms of the Warrant.</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this Exercise Notice, the Company shall deliver to the Holder Warrant Shares determined in accordance with the terms of the Warrant.</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its delivery of this Exercise Notice, the undersigned represents and warrants to the Company that in giving effect to the exercise evidenced hereby the Holder will not beneficially own in excess of the number of Class A Ordinary Shares (as determined in accordance with Section 13(d) of the Securities Exchange Act of 1934, as amended) permitted to be owned under Section 11(a) of the Warrant to which this notice relates.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17145</wp:posOffset>
            </wp:positionV>
            <wp:extent cx="249428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17145</wp:posOffset>
            </wp:positionV>
            <wp:extent cx="249428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17145</wp:posOffset>
            </wp:positionV>
            <wp:extent cx="249428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17145</wp:posOffset>
            </wp:positionV>
            <wp:extent cx="249428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17145</wp:posOffset>
            </wp:positionV>
            <wp:extent cx="249428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(Signature must conform in all respects to name of Holder as specified on the face of the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2" w:name="page73"/>
    <w:bookmarkEnd w:id="72"/>
    <w:p>
      <w:pPr>
        <w:ind w:left="10240"/>
        <w:spacing w:after="0"/>
        <w:rPr>
          <w:sz w:val="20"/>
          <w:szCs w:val="20"/>
          <w:color w:val="auto"/>
        </w:rPr>
      </w:pPr>
      <w:r>
        <w:rPr>
          <w:rFonts w:ascii="Times New Roman" w:cs="Times New Roman" w:eastAsia="Times New Roman" w:hAnsi="Times New Roman"/>
          <w:sz w:val="21"/>
          <w:szCs w:val="21"/>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1028700" cy="2571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02870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tabs>
          <w:tab w:leader="none" w:pos="8980" w:val="left"/>
        </w:tabs>
        <w:rPr>
          <w:sz w:val="20"/>
          <w:szCs w:val="20"/>
          <w:color w:val="auto"/>
        </w:rPr>
      </w:pPr>
      <w:r>
        <w:rPr>
          <w:rFonts w:ascii="Times New Roman" w:cs="Times New Roman" w:eastAsia="Times New Roman" w:hAnsi="Times New Roman"/>
          <w:sz w:val="18"/>
          <w:szCs w:val="18"/>
          <w:color w:val="auto"/>
        </w:rPr>
        <w:t>25 June 2026</w:t>
      </w:r>
      <w:r>
        <w:rPr>
          <w:sz w:val="20"/>
          <w:szCs w:val="20"/>
          <w:color w:val="auto"/>
        </w:rPr>
        <w:tab/>
      </w:r>
      <w:r>
        <w:rPr>
          <w:rFonts w:ascii="Times New Roman" w:cs="Times New Roman" w:eastAsia="Times New Roman" w:hAnsi="Times New Roman"/>
          <w:sz w:val="17"/>
          <w:szCs w:val="17"/>
          <w:color w:val="auto"/>
        </w:rPr>
        <w:t>Our Ref: SF/af/M6993-172608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MoonLake Immunotherapeutics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Walkers Corporate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190 Elgin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George Town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Grand Cayman KY1-9008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Addressees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MOONLAKE IMMUNOTHERAPEUTICS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been asked to provide this legal opinion to you with regards to the laws of the Cayman Islands in connection with the Registration Statement (as defined in Schedule 1) filed by MoonLake Immunotherapeutics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with the United States Securities and Exchange Commission pursuant to the United States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and the Prospectus Supplement (as defined in Schedule 1) thereto relating to the offering, issue, and sale (the “</w:t>
      </w:r>
      <w:r>
        <w:rPr>
          <w:rFonts w:ascii="Times New Roman" w:cs="Times New Roman" w:eastAsia="Times New Roman" w:hAnsi="Times New Roman"/>
          <w:sz w:val="18"/>
          <w:szCs w:val="18"/>
          <w:b w:val="1"/>
          <w:bCs w:val="1"/>
          <w:color w:val="auto"/>
        </w:rPr>
        <w:t>Offering</w:t>
      </w:r>
      <w:r>
        <w:rPr>
          <w:rFonts w:ascii="Times New Roman" w:cs="Times New Roman" w:eastAsia="Times New Roman" w:hAnsi="Times New Roman"/>
          <w:sz w:val="18"/>
          <w:szCs w:val="18"/>
          <w:color w:val="auto"/>
        </w:rPr>
        <w:t>”) by the Company of up to:</w:t>
      </w:r>
    </w:p>
    <w:p>
      <w:pPr>
        <w:spacing w:after="0" w:line="176" w:lineRule="exact"/>
        <w:rPr>
          <w:sz w:val="20"/>
          <w:szCs w:val="20"/>
          <w:color w:val="auto"/>
        </w:rPr>
      </w:pPr>
    </w:p>
    <w:p>
      <w:pPr>
        <w:jc w:val="both"/>
        <w:ind w:left="660" w:hanging="328"/>
        <w:spacing w:after="0" w:line="268" w:lineRule="auto"/>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10,500,000 Class A ordinary shares (the “</w:t>
      </w:r>
      <w:r>
        <w:rPr>
          <w:rFonts w:ascii="Times New Roman" w:cs="Times New Roman" w:eastAsia="Times New Roman" w:hAnsi="Times New Roman"/>
          <w:sz w:val="18"/>
          <w:szCs w:val="18"/>
          <w:b w:val="1"/>
          <w:bCs w:val="1"/>
          <w:color w:val="auto"/>
        </w:rPr>
        <w:t>Firm Shares</w:t>
      </w:r>
      <w:r>
        <w:rPr>
          <w:rFonts w:ascii="Times New Roman" w:cs="Times New Roman" w:eastAsia="Times New Roman" w:hAnsi="Times New Roman"/>
          <w:sz w:val="18"/>
          <w:szCs w:val="18"/>
          <w:color w:val="auto"/>
        </w:rPr>
        <w:t>”) (which includes up to an additional 1,500,000 Class A ordinary shares which the Underwriters (as defined in Schedule 1) have the option to purchase from the Company), in each case with a par value US$0.0001 per share in the capital of the Company (“</w:t>
      </w:r>
      <w:r>
        <w:rPr>
          <w:rFonts w:ascii="Times New Roman" w:cs="Times New Roman" w:eastAsia="Times New Roman" w:hAnsi="Times New Roman"/>
          <w:sz w:val="18"/>
          <w:szCs w:val="18"/>
          <w:b w:val="1"/>
          <w:bCs w:val="1"/>
          <w:color w:val="auto"/>
        </w:rPr>
        <w:t>Class A Shares</w:t>
      </w:r>
      <w:r>
        <w:rPr>
          <w:rFonts w:ascii="Times New Roman" w:cs="Times New Roman" w:eastAsia="Times New Roman" w:hAnsi="Times New Roman"/>
          <w:sz w:val="18"/>
          <w:szCs w:val="18"/>
          <w:color w:val="auto"/>
        </w:rPr>
        <w:t>”); and</w:t>
      </w:r>
    </w:p>
    <w:p>
      <w:pPr>
        <w:spacing w:after="0" w:line="170"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 Class A Shares issuable upon exercise of pre-funded warrants to purchase Class A Shares (the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and the Class A Shares issuable under the terms of the Warrants, the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and together with the Firm Shares,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purposes of giving this opinion, we have examined and relied upon the originals or copies or translations of the documents listed in Schedule 1.</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Cayman Islands Attorneys at Law and express no opinion as to any laws other than the laws of the Cayman Islands in force and as interpreted at the date of this opinion. We have not, for the purposes of this opinion, made any investigation of the laws, rules or regulations of any other jurisdiction. Except as explicitly stated herein, we express no opinion in relation to any representation or warranty contained in the Documents (as defined in Schedule 1) nor upon matters of fact or the commercial terms contemplated by the Documents.</w:t>
      </w:r>
    </w:p>
    <w:p>
      <w:pPr>
        <w:spacing w:after="0" w:line="1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Walkers</w:t>
      </w:r>
    </w:p>
    <w:p>
      <w:pPr>
        <w:spacing w:after="0" w:line="1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190 Elgin Avenue, George Town</w:t>
      </w:r>
    </w:p>
    <w:p>
      <w:pPr>
        <w:spacing w:after="0" w:line="1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Grand Cayman KY1-9001, Cayman Islands</w:t>
      </w:r>
    </w:p>
    <w:p>
      <w:pPr>
        <w:spacing w:after="0" w:line="1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T </w:t>
      </w:r>
      <w:r>
        <w:rPr>
          <w:rFonts w:ascii="Times New Roman" w:cs="Times New Roman" w:eastAsia="Times New Roman" w:hAnsi="Times New Roman"/>
          <w:sz w:val="14"/>
          <w:szCs w:val="14"/>
          <w:color w:val="auto"/>
        </w:rPr>
        <w:t>+1 345 949 0100</w:t>
      </w:r>
      <w:r>
        <w:rPr>
          <w:rFonts w:ascii="Times New Roman" w:cs="Times New Roman" w:eastAsia="Times New Roman" w:hAnsi="Times New Roman"/>
          <w:sz w:val="14"/>
          <w:szCs w:val="14"/>
          <w:b w:val="1"/>
          <w:bCs w:val="1"/>
          <w:color w:val="auto"/>
        </w:rPr>
        <w:t xml:space="preserve"> F </w:t>
      </w:r>
      <w:r>
        <w:rPr>
          <w:rFonts w:ascii="Times New Roman" w:cs="Times New Roman" w:eastAsia="Times New Roman" w:hAnsi="Times New Roman"/>
          <w:sz w:val="14"/>
          <w:szCs w:val="14"/>
          <w:color w:val="auto"/>
        </w:rPr>
        <w:t>+1 345 949 7886 www.walkersglobal.com</w:t>
      </w:r>
    </w:p>
    <w:p>
      <w:pPr>
        <w:spacing w:after="0" w:line="138"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4"/>
          <w:szCs w:val="14"/>
          <w:color w:val="auto"/>
        </w:rPr>
        <w:t>Bermuda | British Virgin Islands | Cayman Islands | Dubai | Guernsey | Hong Kong | Ireland | Jersey | London | 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25"/>
          <w:szCs w:val="25"/>
          <w:b w:val="1"/>
          <w:bCs w:val="1"/>
          <w:color w:val="auto"/>
        </w:rPr>
        <w:t>WALKERS</w:t>
      </w:r>
    </w:p>
    <w:p>
      <w:pPr>
        <w:spacing w:after="0" w:line="26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Based upon the foregoing examinations and the assumptions and qualifications set out below and having regard to legal considerations which we consider relevant, and under the laws of the Cayman Islands, we give the following opinion in relation to the matters set out below.</w:t>
      </w:r>
    </w:p>
    <w:p>
      <w:pPr>
        <w:spacing w:after="0" w:line="162" w:lineRule="exact"/>
        <w:rPr>
          <w:sz w:val="20"/>
          <w:szCs w:val="20"/>
          <w:color w:val="auto"/>
        </w:rPr>
      </w:pPr>
    </w:p>
    <w:p>
      <w:pPr>
        <w:ind w:left="660" w:hanging="652"/>
        <w:spacing w:after="0" w:line="282" w:lineRule="auto"/>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an exempted company duly incorporated with limited liability, validly existing under the laws of the Cayman Islands and in good standing with the Registrar of Companies in the Cayman Islands (the “</w:t>
      </w:r>
      <w:r>
        <w:rPr>
          <w:rFonts w:ascii="Times New Roman" w:cs="Times New Roman" w:eastAsia="Times New Roman" w:hAnsi="Times New Roman"/>
          <w:sz w:val="18"/>
          <w:szCs w:val="18"/>
          <w:b w:val="1"/>
          <w:bCs w:val="1"/>
          <w:color w:val="auto"/>
        </w:rPr>
        <w:t>Registrar</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56" w:lineRule="auto"/>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Firm Shares, as contemplated by the Documents (as defined in Schedule 1), have been duly authorised by all necessary corporate action of the Company. Upon the issue of the Firm Shares (by the entry of the name of the registered owner thereof in the Register of Members of the Company confirming that such Firm Shares have been issued credited as fully paid), delivery and payment therefore by the purchaser (for consideration not being less than their par value) in accordance with the Memorandum and Articles of Association (as defined in Schedule 1) and in the manner contemplated by the Documents, the Firm Shares will be validly issued, fully paid and non-assessable (meaning that no additional sums may be levied in respect of the Firm Shares on the holder thereof by the Company).</w:t>
      </w:r>
    </w:p>
    <w:p>
      <w:pPr>
        <w:spacing w:after="0" w:line="187"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of the Warrants will have been duly authorised by all necessary corporate action of the Company and, once the Warrants have been duly executed and unconditionally delivered by the Company, such documents will be duly executed and delivered on behalf of the Company and will constitute the legal, valid and binding obligations of the Company, enforceable against the Company in accordance with their terms.</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56" w:lineRule="auto"/>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 Shares, as contemplated by the Documents, have been duly authorised by all necessary corporate action of the Company. Upon the exercise of the Warrants and the issue of the Warrant Shares (by the entry of the name of the registered owner thereof in the register of members of the Company confirming that such Warrant Shares have been issued credited as fully paid), delivery and payment therefore by the purchaser in accordance with the Memorandum and Articles of Association (as defined in Schedule 1) and in the manner contemplated by the Documents, the Warrant Shares will be validly created, legally issued, fully paid and non-assessable (meaning that no additional sums may be levied in respect of the Warrant Shares on the holder thereof by the Company).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foregoing opinion is given based on the following assumptions.</w:t>
      </w:r>
    </w:p>
    <w:p>
      <w:pPr>
        <w:spacing w:after="0" w:line="225" w:lineRule="exact"/>
        <w:rPr>
          <w:sz w:val="20"/>
          <w:szCs w:val="20"/>
          <w:color w:val="auto"/>
        </w:rPr>
      </w:pPr>
    </w:p>
    <w:p>
      <w:pPr>
        <w:jc w:val="both"/>
        <w:ind w:left="660" w:hanging="652"/>
        <w:spacing w:after="0" w:line="256" w:lineRule="auto"/>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originals of all documents examined in connection with this opinion are authentic. The signatures, initials and seals on the Documents (as defined in Schedule 1) are genuine and are those of a person or persons given power to execute the Documents under the Resolutions (as defined in Schedule 1). All documents purporting to be sealed have been so sealed. All copies are complete and conform to their originals. Any translations are a complete and accurate translation of the original document they purport to translate. The Documents conform in every material respect to the latest drafts of the same produced to us and, where provided in successive drafts, have been marked up to indicate all changes to such Documents.</w:t>
      </w:r>
    </w:p>
    <w:p>
      <w:pPr>
        <w:spacing w:after="0" w:line="18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relied upon the statements and representations of directors, officers and other representatives of the Company as to factual matters.</w:t>
      </w:r>
    </w:p>
    <w:p>
      <w:pPr>
        <w:spacing w:after="0" w:line="22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Memorandum and Articles of Association reviewed by us will be the memorandum and articles of association of the Company in effect upon the issuance of the Shares and Warrants.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WALKERS</w:t>
      </w:r>
    </w:p>
    <w:p>
      <w:pPr>
        <w:spacing w:after="0" w:line="229" w:lineRule="exact"/>
        <w:rPr>
          <w:sz w:val="20"/>
          <w:szCs w:val="20"/>
          <w:color w:val="auto"/>
        </w:rPr>
      </w:pPr>
    </w:p>
    <w:p>
      <w:pPr>
        <w:jc w:val="both"/>
        <w:ind w:left="660" w:hanging="652"/>
        <w:spacing w:after="0" w:line="266" w:lineRule="auto"/>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Supplement and the documents or agreements referred to therein will be duly authorised, executed and delivered by or on behalf of all relevant parties prior to the issue and sale of the Shares and Warrants and will be legal, valid, binding and enforceable against all relevant parties in accordance with their terms under all relevant laws (other than the laws of the Cayman Islands).</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offer, issue and sell the Shares and Warrants in the manner contemplated by the Documents (as applicable) and in the manner contemplated by the Prospectus Supplement and the documents or agreements referred to therein and otherwise in compliance with all applicable United States federal and state securities laws.</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Records (as defined in Schedule 1) are complete and accurate and all matters required by law and the Memorandum and Articles of Association to be recorded therein are completely and accurately so recorded.</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and completeness of all factual representations made in the Prospectus Supplement and the Registration Statement and all other documents reviewed by us.</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receive consideration in money or money’s worth for each of the Shares and Warrants when issued, such price in any event not being less than the stated par or nominal value of a Share.</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Resolutions are and shall remain in full force and effect and have not been and will not be rescinded or amended. The Resolutions have been duly executed (and where by a corporate entity such execution has been duly authorised if so required) by or on behalf of each Director / member of the Pricing Committee and the signatures and initials thereon are those of a person or persons in whose name the Resolutions have been expressed to be signed. The Pricing Committee Resolutions (as defined in Schedule 1) were duly adopted at a duly convened meeting of the Pricing Committee of the Company and such meeting was held and conducted in accordance with the Memorandum and Articles.</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Documents, have been, or will be, duly authorised, executed and delivered by or on behalf of all relevant parties and are, or will be, legal, valid, binding and enforceable against all relevant parties in accordance with their terms under all relevant laws (other than the laws of the Cayman Islands).</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choice of the laws of the jurisdiction selected to govern each of the Documents has been made in good faith and will be regarded as a valid and binding selection which will be upheld in the courts of that jurisdiction and all relevant jurisdictions (other than the Cayman Islands).</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preconditions to the issue of the Shares and Warrants under the terms of the Documents (as applicable) will be satisfied or duly waived prior to the issue of the Shares and Warrants and there will be no breach of the terms of the Documents (as applicable).</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 of the Shares and Warrants will be of commercial benefit to the Company.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t>WALKERS</w:t>
      </w:r>
    </w:p>
    <w:p>
      <w:pPr>
        <w:spacing w:after="0" w:line="229" w:lineRule="exact"/>
        <w:rPr>
          <w:sz w:val="20"/>
          <w:szCs w:val="20"/>
          <w:color w:val="auto"/>
        </w:rPr>
      </w:pPr>
    </w:p>
    <w:p>
      <w:pPr>
        <w:ind w:left="660" w:hanging="652"/>
        <w:spacing w:after="0" w:line="282" w:lineRule="auto"/>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invitation has been made or will be made by or on behalf of the Company to the public in the Cayman Islands to subscribe for any of the Shares or Warrants.</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provisions of the laws of any jurisdiction outside the Cayman Islands which would be contravened by the issuance and allotment of the Shares or Warrants and, insofar as any obligation expressed to be incurred under any of the Documents is to be performed in or is otherwise subject to the laws of any jurisdiction outside the Cayman Islands, its performance will not be illegal by virtue of the laws of that jurisdiction.</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nothing under any law (other than the laws of the Cayman Islands) which would or might affect any of the opinions set forth above.</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will be nothing in the Prospectus Supplement which would or might affect any of the opinions set forth above.</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was, or will be, on the date of execution of the Documents to which it is a party able to pay its debts as they became due from its own moneys, and any disposition or settlement of property effected by any of the Documents is made in good faith and for valuable consideration and at the time of each disposition of property by the Company pursuant to the Documents the Company will be able to pay its debts as they become due from its own moneys.</w:t>
      </w:r>
    </w:p>
    <w:p>
      <w:pPr>
        <w:spacing w:after="0" w:line="17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of issuance of any Share or Warrant, the Company will have sufficient authorised and unissued share capital.</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amounts paid to or for the account of any party under the Documents or any property received or disposed of by any party to the Documents in each case in connection with the performance of the Documents or the consummation of the transactions contemplated thereby, represent or will represent proceeds of criminal conduct or criminal property as defined in the Proceeds of Crime Act (as amended) (the “</w:t>
      </w:r>
      <w:r>
        <w:rPr>
          <w:rFonts w:ascii="Times New Roman" w:cs="Times New Roman" w:eastAsia="Times New Roman" w:hAnsi="Times New Roman"/>
          <w:sz w:val="18"/>
          <w:szCs w:val="18"/>
          <w:b w:val="1"/>
          <w:bCs w:val="1"/>
          <w:color w:val="auto"/>
        </w:rPr>
        <w:t>POCA</w:t>
      </w:r>
      <w:r>
        <w:rPr>
          <w:rFonts w:ascii="Times New Roman" w:cs="Times New Roman" w:eastAsia="Times New Roman" w:hAnsi="Times New Roman"/>
          <w:sz w:val="18"/>
          <w:szCs w:val="18"/>
          <w:color w:val="auto"/>
        </w:rPr>
        <w:t>”) or terrorist property as defined in the POCA or the Terrorism Act (as amended) (the “</w:t>
      </w:r>
      <w:r>
        <w:rPr>
          <w:rFonts w:ascii="Times New Roman" w:cs="Times New Roman" w:eastAsia="Times New Roman" w:hAnsi="Times New Roman"/>
          <w:sz w:val="18"/>
          <w:szCs w:val="18"/>
          <w:b w:val="1"/>
          <w:bCs w:val="1"/>
          <w:color w:val="auto"/>
        </w:rPr>
        <w:t>Terrorism Act</w:t>
      </w:r>
      <w:r>
        <w:rPr>
          <w:rFonts w:ascii="Times New Roman" w:cs="Times New Roman" w:eastAsia="Times New Roman" w:hAnsi="Times New Roman"/>
          <w:sz w:val="18"/>
          <w:szCs w:val="18"/>
          <w:color w:val="auto"/>
        </w:rPr>
        <w:t>”), each of the Cayman Islands.</w:t>
      </w:r>
    </w:p>
    <w:p>
      <w:pPr>
        <w:spacing w:after="0" w:line="17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matter of all relevant laws (other than the laws of the Cayman Islands) none of the Documents constitute a security interest.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opinions expressed above are subject to the following qualifications:</w:t>
      </w:r>
    </w:p>
    <w:p>
      <w:pPr>
        <w:spacing w:after="0" w:line="221" w:lineRule="exact"/>
        <w:rPr>
          <w:sz w:val="20"/>
          <w:szCs w:val="20"/>
          <w:color w:val="auto"/>
        </w:rPr>
      </w:pPr>
    </w:p>
    <w:p>
      <w:pPr>
        <w:jc w:val="both"/>
        <w:ind w:left="660" w:hanging="652"/>
        <w:spacing w:after="0" w:line="268" w:lineRule="auto"/>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enforceable</w:t>
      </w:r>
      <w:r>
        <w:rPr>
          <w:rFonts w:ascii="Times New Roman" w:cs="Times New Roman" w:eastAsia="Times New Roman" w:hAnsi="Times New Roman"/>
          <w:sz w:val="18"/>
          <w:szCs w:val="18"/>
          <w:color w:val="auto"/>
        </w:rPr>
        <w:t>” and its cognates as used in this opinion means that the obligations assumed by any party under the Documents are of a type which the courts of the Cayman Islands (the “</w:t>
      </w:r>
      <w:r>
        <w:rPr>
          <w:rFonts w:ascii="Times New Roman" w:cs="Times New Roman" w:eastAsia="Times New Roman" w:hAnsi="Times New Roman"/>
          <w:sz w:val="18"/>
          <w:szCs w:val="18"/>
          <w:b w:val="1"/>
          <w:bCs w:val="1"/>
          <w:color w:val="auto"/>
        </w:rPr>
        <w:t>Courts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color w:val="auto"/>
        </w:rPr>
        <w:t>Court</w:t>
      </w:r>
      <w:r>
        <w:rPr>
          <w:rFonts w:ascii="Times New Roman" w:cs="Times New Roman" w:eastAsia="Times New Roman" w:hAnsi="Times New Roman"/>
          <w:sz w:val="18"/>
          <w:szCs w:val="18"/>
          <w:color w:val="auto"/>
        </w:rPr>
        <w:t>”) enforce. This does not mean that those obligations will necessarily be enforced in all circumstances in accordance with their terms. In particular:</w:t>
      </w:r>
    </w:p>
    <w:p>
      <w:pPr>
        <w:spacing w:after="0" w:line="174"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enforcement of obligations and the priority of obligations may be limited by bankruptcy, insolvency, liquidation, restructuring, reorganisation, readjustment of debts or moratorium and other laws of general application relating to or affecting the rights of creditors or by prescription or lapse of time;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WALKERS</w:t>
      </w:r>
    </w:p>
    <w:p>
      <w:pPr>
        <w:spacing w:after="0" w:line="229" w:lineRule="exact"/>
        <w:rPr>
          <w:sz w:val="20"/>
          <w:szCs w:val="20"/>
          <w:color w:val="auto"/>
        </w:rPr>
      </w:pPr>
    </w:p>
    <w:p>
      <w:pPr>
        <w:ind w:left="980" w:hanging="324"/>
        <w:spacing w:after="0" w:line="282" w:lineRule="auto"/>
        <w:tabs>
          <w:tab w:leader="none" w:pos="98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enforcement may be limited by general principles of equity and, in particular, the availability of certain equitable remedies such as injunction or specific performance of an obligation may be limited where a Court considers damages to be an adequate remedy;</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may become barred under statutes of limitation or may be or become subject to defences of set-off, counterclaim, estoppel and similar defences;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obligations are to be performed in a jurisdiction outside the Cayman Islands, they may not be enforceable in the Cayman Islands to the extent that performance would be illegal under the laws of, or contrary to the public policy of, that jurisdiction;</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judgment of a Court may be required to be made in Cayman Islands dollars;</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any provision of the Documents is adjudicated to be penal in nature, it will not be enforceable in the Courts; in particular, the enforceability of any provision of the Documents that is adjudicated to constitute a secondary obligation which imposes a detriment on the contract-breaker out of all proportion to any legitimate interest of the innocent party in the enforcement of the primary obligation may be limited;</w:t>
      </w:r>
    </w:p>
    <w:p>
      <w:pPr>
        <w:spacing w:after="0" w:line="179"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performance of any obligation arising under the Documents would be fraudulent or contrary to public policy, it will not be enforceable in the Courts;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insolvent liquidation of the Company, its liabilities are required to be translated into the functional currency of the Company (being the currency of the primary economic environment in which it operated as at the commencement of the liquidation) at the exchange rates prevailing on the date of commencement of the voluntary liquidation or the day on which the winding up order is made (as the case may be);</w:t>
      </w:r>
    </w:p>
    <w:p>
      <w:pPr>
        <w:spacing w:after="0" w:line="1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will not necessarily award costs in litigation in accordance with contractual provisions in this regard; and</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terms in the Documents excusing any party from a liability or duty otherwise owed or indemnifying that party from the consequences of incurring such liability or breaching such duty shall be construed in accordance with, and shall be limited by, applicable law, including generally applicable rules and principles of common law and equity.</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opinion as to good standing is based solely upon receipt of the Certificate of Good Standing (as defined in Schedule 1) issued by the Registrar. The Company shall be deemed to be in good standing under section 200A of the Companies Act on the date of issue of the certificate if all fees and penalties under the Companies Act have been paid and the Registrar has no knowledge that the Company is in default under the Companies Act.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WALKERS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opinion is limited to the matters referred to herein and shall not be construed as extending to any other matter or document not referred to herein. This opinion is given solely for your benefit and the benefit of your legal advisers acting in that capacity in relation to this transaction and may not be relied upon by any other person, other than persons entitled to rely upon it pursuant to the provisions of the Securities Act, without our prior written consent.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opinion shall be construed in accordance with the laws of the Cayman Islands.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hereby consent to the filing of this opinion as Exhibit 5.1 to the Company’s Current Report on Form 8-K filed on 25 June 2026 and further consent to all references to us in the Registration Statement and/or Prospectus Supplement under the caption “Legal Matters” and any amendments thereto.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Walkers (Cayman) LLP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WALKERS (CAYMAN) LLP</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WALKERS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LIST OF DOCUMENTS EXAMINED</w:t>
      </w:r>
    </w:p>
    <w:p>
      <w:pPr>
        <w:spacing w:after="0" w:line="229" w:lineRule="exact"/>
        <w:rPr>
          <w:sz w:val="20"/>
          <w:szCs w:val="20"/>
          <w:color w:val="auto"/>
        </w:rPr>
      </w:pPr>
    </w:p>
    <w:p>
      <w:pPr>
        <w:jc w:val="both"/>
        <w:ind w:left="660" w:hanging="652"/>
        <w:spacing w:after="0" w:line="261" w:lineRule="auto"/>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of Incorporation of the Company dated 13 August 2020, the Certificate of Incorporation on Change of Name dated 5 April 2022, the Second Amended and Restated Memorandum and Articles of Association of the Company adopted on 31 March 2022 and effective 5 April 2022 (the “</w:t>
      </w:r>
      <w:r>
        <w:rPr>
          <w:rFonts w:ascii="Times New Roman" w:cs="Times New Roman" w:eastAsia="Times New Roman" w:hAnsi="Times New Roman"/>
          <w:sz w:val="18"/>
          <w:szCs w:val="18"/>
          <w:b w:val="1"/>
          <w:bCs w:val="1"/>
          <w:color w:val="auto"/>
        </w:rPr>
        <w:t>Memorandum and Articles of Association</w:t>
      </w:r>
      <w:r>
        <w:rPr>
          <w:rFonts w:ascii="Times New Roman" w:cs="Times New Roman" w:eastAsia="Times New Roman" w:hAnsi="Times New Roman"/>
          <w:sz w:val="18"/>
          <w:szCs w:val="18"/>
          <w:color w:val="auto"/>
        </w:rPr>
        <w:t>”) and each of the Register of Directors, Register of Officers and Register of Mortgages and Charges of the Company (together, the “</w:t>
      </w:r>
      <w:r>
        <w:rPr>
          <w:rFonts w:ascii="Times New Roman" w:cs="Times New Roman" w:eastAsia="Times New Roman" w:hAnsi="Times New Roman"/>
          <w:sz w:val="18"/>
          <w:szCs w:val="18"/>
          <w:b w:val="1"/>
          <w:bCs w:val="1"/>
          <w:color w:val="auto"/>
        </w:rPr>
        <w:t>Company Records</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Cayman Online Registry Information System (CORIS), the Cayman Islands’ General Registry’s online database, searched 24 June 2026.</w:t>
      </w:r>
    </w:p>
    <w:p>
      <w:pPr>
        <w:spacing w:after="0" w:line="22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Good Standing dated 24 June 2026 in respect of the Company issued by the Registrar (the “</w:t>
      </w:r>
      <w:r>
        <w:rPr>
          <w:rFonts w:ascii="Times New Roman" w:cs="Times New Roman" w:eastAsia="Times New Roman" w:hAnsi="Times New Roman"/>
          <w:sz w:val="18"/>
          <w:szCs w:val="18"/>
          <w:b w:val="1"/>
          <w:bCs w:val="1"/>
          <w:color w:val="auto"/>
        </w:rPr>
        <w:t>Certificate of Good Standing</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executed written resolutions of the Directors of the Company dated 30 August 2023 and 19 June 2026 and a copy of the executed minutes of a meeting of the Pricing Committee of the Company dated 23 June 2026 setting out the resolutions adopted at such meeting (the “</w:t>
      </w:r>
      <w:r>
        <w:rPr>
          <w:rFonts w:ascii="Times New Roman" w:cs="Times New Roman" w:eastAsia="Times New Roman" w:hAnsi="Times New Roman"/>
          <w:sz w:val="18"/>
          <w:szCs w:val="18"/>
          <w:b w:val="1"/>
          <w:bCs w:val="1"/>
          <w:color w:val="auto"/>
        </w:rPr>
        <w:t>Pricing Committee Resolutions</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b w:val="1"/>
          <w:bCs w:val="1"/>
          <w:color w:val="auto"/>
        </w:rPr>
        <w:t>Resolutions</w:t>
      </w:r>
      <w:r>
        <w:rPr>
          <w:rFonts w:ascii="Times New Roman" w:cs="Times New Roman" w:eastAsia="Times New Roman" w:hAnsi="Times New Roman"/>
          <w:sz w:val="18"/>
          <w:szCs w:val="18"/>
          <w:color w:val="auto"/>
        </w:rPr>
        <w:t>”).</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the following documents (the “</w:t>
      </w:r>
      <w:r>
        <w:rPr>
          <w:rFonts w:ascii="Times New Roman" w:cs="Times New Roman" w:eastAsia="Times New Roman" w:hAnsi="Times New Roman"/>
          <w:sz w:val="18"/>
          <w:szCs w:val="18"/>
          <w:b w:val="1"/>
          <w:bCs w:val="1"/>
          <w:color w:val="auto"/>
        </w:rPr>
        <w:t>Documents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on Form S-3 (File No. 333-274286) filed on 31 August 2023 containing a base prospectus (as amended and supplemented from time to time) relating to the offering, issuance and sale of up to a maximum offering price of US$1,000,000,000 of certain securities in the Company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preliminary prospectus supplement to the Registration Statement relating to the issuance and sale of the Shares and Warrants (the “</w:t>
      </w:r>
      <w:r>
        <w:rPr>
          <w:rFonts w:ascii="Times New Roman" w:cs="Times New Roman" w:eastAsia="Times New Roman" w:hAnsi="Times New Roman"/>
          <w:sz w:val="18"/>
          <w:szCs w:val="18"/>
          <w:b w:val="1"/>
          <w:bCs w:val="1"/>
          <w:color w:val="auto"/>
        </w:rPr>
        <w:t>Preliminary Prospectus Supplement</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final prospectus supplement to the Registration Statement relating to the issuance and sale of the Shares and Warrants (together with the Preliminary Prospectus Supplement, the “</w:t>
      </w:r>
      <w:r>
        <w:rPr>
          <w:rFonts w:ascii="Times New Roman" w:cs="Times New Roman" w:eastAsia="Times New Roman" w:hAnsi="Times New Roman"/>
          <w:sz w:val="18"/>
          <w:szCs w:val="18"/>
          <w:b w:val="1"/>
          <w:bCs w:val="1"/>
          <w:color w:val="auto"/>
        </w:rPr>
        <w:t>Prospectus Supplement</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980" w:right="20" w:hanging="324"/>
        <w:spacing w:after="0" w:line="266" w:lineRule="auto"/>
        <w:tabs>
          <w:tab w:leader="none" w:pos="98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executed Underwriting Agreement dated 23 June 2026 among the Company and Leerink Partners LLC as representative of the several underwriters named in Schedule A therein relating to the issuance and sale of the Shares and Warrants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Underwriting Agreement</w:t>
      </w:r>
      <w:r>
        <w:rPr>
          <w:rFonts w:ascii="Times New Roman" w:cs="Times New Roman" w:eastAsia="Times New Roman" w:hAnsi="Times New Roman"/>
          <w:sz w:val="18"/>
          <w:szCs w:val="18"/>
          <w:color w:val="auto"/>
        </w:rPr>
        <w:t>”); and</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form of Warrant to be entered into by the Company as warrant agent.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487CB0"/>
    <w:multiLevelType w:val="hybridMultilevel"/>
    <w:lvl w:ilvl="0">
      <w:lvlJc w:val="left"/>
      <w:lvlText w:val="☐"/>
      <w:numFmt w:val="bullet"/>
      <w:start w:val="1"/>
    </w:lvl>
  </w:abstractNum>
  <w:abstractNum w:abstractNumId="1">
    <w:nsid w:val="1D4ED43B"/>
    <w:multiLevelType w:val="hybridMultilevel"/>
    <w:lvl w:ilvl="0">
      <w:lvlJc w:val="left"/>
      <w:lvlText w:val="%1"/>
      <w:numFmt w:val="decimal"/>
      <w:start w:val="104"/>
    </w:lvl>
  </w:abstractNum>
  <w:abstractNum w:abstractNumId="2">
    <w:nsid w:val="725A06FB"/>
    <w:multiLevelType w:val="hybridMultilevel"/>
    <w:lvl w:ilvl="0">
      <w:lvlJc w:val="left"/>
      <w:lvlText w:val="(%1)"/>
      <w:numFmt w:val="lowerLetter"/>
      <w:start w:val="1"/>
    </w:lvl>
    <w:lvl w:ilvl="1">
      <w:lvlJc w:val="left"/>
      <w:lvlText w:val="(%2)"/>
      <w:numFmt w:val="lowerLetter"/>
      <w:start w:val="9"/>
    </w:lvl>
  </w:abstractNum>
  <w:abstractNum w:abstractNumId="3">
    <w:nsid w:val="2CD89A32"/>
    <w:multiLevelType w:val="hybridMultilevel"/>
    <w:lvl w:ilvl="0">
      <w:lvlJc w:val="left"/>
      <w:lvlText w:val="(%1)"/>
      <w:numFmt w:val="lowerRoman"/>
      <w:start w:val="2"/>
    </w:lvl>
  </w:abstractNum>
  <w:abstractNum w:abstractNumId="4">
    <w:nsid w:val="57E4CCAF"/>
    <w:multiLevelType w:val="hybridMultilevel"/>
    <w:lvl w:ilvl="0">
      <w:lvlJc w:val="left"/>
      <w:lvlText w:val="(%1)"/>
      <w:numFmt w:val="lowerRoman"/>
      <w:start w:val="3"/>
    </w:lvl>
  </w:abstractNum>
  <w:abstractNum w:abstractNumId="5">
    <w:nsid w:val="7A6D8D3C"/>
    <w:multiLevelType w:val="hybridMultilevel"/>
    <w:lvl w:ilvl="0">
      <w:lvlJc w:val="left"/>
      <w:lvlText w:val="(%1)"/>
      <w:numFmt w:val="lowerRoman"/>
      <w:start w:val="6"/>
    </w:lvl>
  </w:abstractNum>
  <w:abstractNum w:abstractNumId="6">
    <w:nsid w:val="4B588F54"/>
    <w:multiLevelType w:val="hybridMultilevel"/>
    <w:lvl w:ilvl="0">
      <w:lvlJc w:val="left"/>
      <w:lvlText w:val="(%1)"/>
      <w:numFmt w:val="lowerRoman"/>
      <w:start w:val="9"/>
    </w:lvl>
  </w:abstractNum>
  <w:abstractNum w:abstractNumId="7">
    <w:nsid w:val="542289EC"/>
    <w:multiLevelType w:val="hybridMultilevel"/>
    <w:lvl w:ilvl="0">
      <w:lvlJc w:val="left"/>
      <w:lvlText w:val="(%1)"/>
      <w:numFmt w:val="lowerRoman"/>
      <w:start w:val="12"/>
    </w:lvl>
  </w:abstractNum>
  <w:abstractNum w:abstractNumId="8">
    <w:nsid w:val="6DE91B18"/>
    <w:multiLevelType w:val="hybridMultilevel"/>
    <w:lvl w:ilvl="0">
      <w:lvlJc w:val="left"/>
      <w:lvlText w:val="(%1)"/>
      <w:numFmt w:val="lowerRoman"/>
      <w:start w:val="15"/>
    </w:lvl>
  </w:abstractNum>
  <w:abstractNum w:abstractNumId="9">
    <w:nsid w:val="38437FDB"/>
    <w:multiLevelType w:val="hybridMultilevel"/>
    <w:lvl w:ilvl="0">
      <w:lvlJc w:val="left"/>
      <w:lvlText w:val="(%1)"/>
      <w:numFmt w:val="lowerRoman"/>
      <w:start w:val="18"/>
    </w:lvl>
  </w:abstractNum>
  <w:abstractNum w:abstractNumId="10">
    <w:nsid w:val="7644A45C"/>
    <w:multiLevelType w:val="hybridMultilevel"/>
    <w:lvl w:ilvl="0">
      <w:lvlJc w:val="left"/>
      <w:lvlText w:val="(%1)"/>
      <w:numFmt w:val="lowerRoman"/>
      <w:start w:val="21"/>
    </w:lvl>
  </w:abstractNum>
  <w:abstractNum w:abstractNumId="11">
    <w:nsid w:val="32FFF902"/>
    <w:multiLevelType w:val="hybridMultilevel"/>
    <w:lvl w:ilvl="0">
      <w:lvlJc w:val="left"/>
      <w:lvlText w:val="(%1)"/>
      <w:numFmt w:val="lowerRoman"/>
      <w:start w:val="24"/>
    </w:lvl>
  </w:abstractNum>
  <w:abstractNum w:abstractNumId="12">
    <w:nsid w:val="684A481A"/>
    <w:multiLevelType w:val="hybridMultilevel"/>
    <w:lvl w:ilvl="0">
      <w:lvlJc w:val="left"/>
      <w:lvlText w:val="(%1)"/>
      <w:numFmt w:val="lowerRoman"/>
      <w:start w:val="25"/>
    </w:lvl>
  </w:abstractNum>
  <w:abstractNum w:abstractNumId="13">
    <w:nsid w:val="579478FE"/>
    <w:multiLevelType w:val="hybridMultilevel"/>
    <w:lvl w:ilvl="0">
      <w:lvlJc w:val="left"/>
      <w:lvlText w:val="(%1)"/>
      <w:numFmt w:val="lowerRoman"/>
      <w:start w:val="27"/>
    </w:lvl>
  </w:abstractNum>
  <w:abstractNum w:abstractNumId="14">
    <w:nsid w:val="749ABB43"/>
    <w:multiLevelType w:val="hybridMultilevel"/>
    <w:lvl w:ilvl="0">
      <w:lvlJc w:val="left"/>
      <w:lvlText w:val="%1"/>
      <w:numFmt w:val="lowerRoman"/>
      <w:start w:val="1"/>
    </w:lvl>
    <w:lvl w:ilvl="1">
      <w:lvlJc w:val="left"/>
      <w:lvlText w:val="(%2)"/>
      <w:numFmt w:val="lowerRoman"/>
      <w:start w:val="30"/>
    </w:lvl>
  </w:abstractNum>
  <w:abstractNum w:abstractNumId="15">
    <w:nsid w:val="3DC240FB"/>
    <w:multiLevelType w:val="hybridMultilevel"/>
    <w:lvl w:ilvl="0">
      <w:lvlJc w:val="left"/>
      <w:lvlText w:val="(%1)"/>
      <w:numFmt w:val="lowerRoman"/>
      <w:start w:val="2"/>
    </w:lvl>
    <w:lvl w:ilvl="1">
      <w:lvlJc w:val="left"/>
      <w:lvlText w:val="(%2)"/>
      <w:numFmt w:val="lowerRoman"/>
      <w:start w:val="31"/>
    </w:lvl>
  </w:abstractNum>
  <w:abstractNum w:abstractNumId="16">
    <w:nsid w:val="1BA026FA"/>
    <w:multiLevelType w:val="hybridMultilevel"/>
    <w:lvl w:ilvl="0">
      <w:lvlJc w:val="left"/>
      <w:lvlText w:val="(%1)"/>
      <w:numFmt w:val="lowerRoman"/>
      <w:start w:val="33"/>
    </w:lvl>
  </w:abstractNum>
  <w:abstractNum w:abstractNumId="17">
    <w:nsid w:val="79A1DEAA"/>
    <w:multiLevelType w:val="hybridMultilevel"/>
    <w:lvl w:ilvl="0">
      <w:lvlJc w:val="left"/>
      <w:lvlText w:val="(%1)"/>
      <w:numFmt w:val="lowerRoman"/>
      <w:start w:val="38"/>
    </w:lvl>
  </w:abstractNum>
  <w:abstractNum w:abstractNumId="18">
    <w:nsid w:val="75C6C33A"/>
    <w:multiLevelType w:val="hybridMultilevel"/>
    <w:lvl w:ilvl="0">
      <w:lvlJc w:val="left"/>
      <w:lvlText w:val="(%1)"/>
      <w:numFmt w:val="lowerRoman"/>
      <w:start w:val="3"/>
    </w:lvl>
  </w:abstractNum>
  <w:abstractNum w:abstractNumId="19">
    <w:nsid w:val="12E685FB"/>
    <w:multiLevelType w:val="hybridMultilevel"/>
    <w:lvl w:ilvl="0">
      <w:lvlJc w:val="left"/>
      <w:lvlText w:val="(%1)"/>
      <w:numFmt w:val="lowerLetter"/>
      <w:start w:val="12"/>
    </w:lvl>
  </w:abstractNum>
  <w:abstractNum w:abstractNumId="20">
    <w:nsid w:val="70C6A529"/>
    <w:multiLevelType w:val="hybridMultilevel"/>
    <w:lvl w:ilvl="0">
      <w:lvlJc w:val="left"/>
      <w:lvlText w:val="(%1)"/>
      <w:numFmt w:val="lowerRoman"/>
      <w:start w:val="1"/>
    </w:lvl>
  </w:abstractNum>
  <w:abstractNum w:abstractNumId="21">
    <w:nsid w:val="520EEDD1"/>
    <w:multiLevelType w:val="hybridMultilevel"/>
    <w:lvl w:ilvl="0">
      <w:lvlJc w:val="left"/>
      <w:lvlText w:val="(%1)"/>
      <w:numFmt w:val="lowerLetter"/>
      <w:start w:val="2"/>
    </w:lvl>
  </w:abstractNum>
  <w:abstractNum w:abstractNumId="22">
    <w:nsid w:val="374A3FE6"/>
    <w:multiLevelType w:val="hybridMultilevel"/>
    <w:lvl w:ilvl="0">
      <w:lvlJc w:val="left"/>
      <w:lvlText w:val="(%1)"/>
      <w:numFmt w:val="lowerLetter"/>
      <w:start w:val="1"/>
    </w:lvl>
  </w:abstractNum>
  <w:abstractNum w:abstractNumId="23">
    <w:nsid w:val="4F4EF005"/>
    <w:multiLevelType w:val="hybridMultilevel"/>
    <w:lvl w:ilvl="0">
      <w:lvlJc w:val="left"/>
      <w:lvlText w:val="(%1)"/>
      <w:numFmt w:val="lowerLetter"/>
      <w:start w:val="3"/>
    </w:lvl>
  </w:abstractNum>
  <w:abstractNum w:abstractNumId="24">
    <w:nsid w:val="23F9C13C"/>
    <w:multiLevelType w:val="hybridMultilevel"/>
    <w:lvl w:ilvl="0">
      <w:lvlJc w:val="left"/>
      <w:lvlText w:val="(%1)"/>
      <w:numFmt w:val="lowerLetter"/>
      <w:start w:val="1"/>
    </w:lvl>
  </w:abstractNum>
  <w:abstractNum w:abstractNumId="25">
    <w:nsid w:val="649BB77C"/>
    <w:multiLevelType w:val="hybridMultilevel"/>
    <w:lvl w:ilvl="0">
      <w:lvlJc w:val="left"/>
      <w:lvlText w:val="(%1)"/>
      <w:numFmt w:val="lowerLetter"/>
      <w:start w:val="3"/>
    </w:lvl>
  </w:abstractNum>
  <w:abstractNum w:abstractNumId="26">
    <w:nsid w:val="275AC794"/>
    <w:multiLevelType w:val="hybridMultilevel"/>
    <w:lvl w:ilvl="0">
      <w:lvlJc w:val="left"/>
      <w:lvlText w:val="%1"/>
      <w:numFmt w:val="decimal"/>
      <w:start w:val="1"/>
    </w:lvl>
    <w:lvl w:ilvl="1">
      <w:lvlJc w:val="left"/>
      <w:lvlText w:val="(%2)"/>
      <w:numFmt w:val="lowerLetter"/>
      <w:start w:val="9"/>
    </w:lvl>
  </w:abstractNum>
  <w:abstractNum w:abstractNumId="27">
    <w:nsid w:val="39386575"/>
    <w:multiLevelType w:val="hybridMultilevel"/>
    <w:lvl w:ilvl="0">
      <w:lvlJc w:val="left"/>
      <w:lvlText w:val="(%1)"/>
      <w:numFmt w:val="decimal"/>
      <w:start w:val="3"/>
    </w:lvl>
    <w:lvl w:ilvl="1">
      <w:lvlJc w:val="left"/>
      <w:lvlText w:val="(%2)"/>
      <w:numFmt w:val="lowerLetter"/>
      <w:start w:val="10"/>
    </w:lvl>
  </w:abstractNum>
  <w:abstractNum w:abstractNumId="28">
    <w:nsid w:val="1CF10FD8"/>
    <w:multiLevelType w:val="hybridMultilevel"/>
    <w:lvl w:ilvl="0">
      <w:lvlJc w:val="left"/>
      <w:lvlText w:val="%1"/>
      <w:numFmt w:val="lowerLetter"/>
      <w:start w:val="1"/>
    </w:lvl>
    <w:lvl w:ilvl="1">
      <w:lvlJc w:val="left"/>
      <w:lvlText w:val="(%2)"/>
      <w:numFmt w:val="lowerLetter"/>
      <w:start w:val="1"/>
    </w:lvl>
  </w:abstractNum>
  <w:abstractNum w:abstractNumId="29">
    <w:nsid w:val="180115BE"/>
    <w:multiLevelType w:val="hybridMultilevel"/>
    <w:lvl w:ilvl="0">
      <w:lvlJc w:val="left"/>
      <w:lvlText w:val="(%1)"/>
      <w:numFmt w:val="lowerLetter"/>
      <w:start w:val="22"/>
    </w:lvl>
    <w:lvl w:ilvl="1">
      <w:lvlJc w:val="left"/>
      <w:lvlText w:val="%2"/>
      <w:numFmt w:val="lowerLetter"/>
      <w:start w:val="1"/>
    </w:lvl>
  </w:abstractNum>
  <w:abstractNum w:abstractNumId="30">
    <w:nsid w:val="235BA861"/>
    <w:multiLevelType w:val="hybridMultilevel"/>
    <w:lvl w:ilvl="0">
      <w:lvlJc w:val="left"/>
      <w:lvlText w:val="(%1)"/>
      <w:numFmt w:val="lowerLetter"/>
      <w:start w:val="22"/>
    </w:lvl>
    <w:lvl w:ilvl="1">
      <w:lvlJc w:val="left"/>
      <w:lvlText w:val="(%2)"/>
      <w:numFmt w:val="lowerLetter"/>
      <w:start w:val="2"/>
    </w:lvl>
  </w:abstractNum>
  <w:abstractNum w:abstractNumId="31">
    <w:nsid w:val="47398C89"/>
    <w:multiLevelType w:val="hybridMultilevel"/>
    <w:lvl w:ilvl="0">
      <w:lvlJc w:val="left"/>
      <w:lvlText w:val="(%1)"/>
      <w:numFmt w:val="lowerLetter"/>
      <w:start w:val="1"/>
    </w:lvl>
  </w:abstractNum>
  <w:abstractNum w:abstractNumId="32">
    <w:nsid w:val="354FE9F9"/>
    <w:multiLevelType w:val="hybridMultilevel"/>
    <w:lvl w:ilvl="0">
      <w:lvlJc w:val="left"/>
      <w:lvlText w:val="(%1)"/>
      <w:numFmt w:val="lowerLetter"/>
      <w:start w:val="3"/>
    </w:lvl>
  </w:abstractNum>
  <w:abstractNum w:abstractNumId="33">
    <w:nsid w:val="15B5AF5C"/>
    <w:multiLevelType w:val="hybridMultilevel"/>
    <w:lvl w:ilvl="0">
      <w:lvlJc w:val="left"/>
      <w:lvlText w:val="(%1)"/>
      <w:numFmt w:val="lowerLetter"/>
      <w:start w:val="9"/>
    </w:lvl>
    <w:lvl w:ilvl="1">
      <w:lvlJc w:val="left"/>
      <w:lvlText w:val="(%2)"/>
      <w:numFmt w:val="lowerRoman"/>
      <w:start w:val="1"/>
    </w:lvl>
  </w:abstractNum>
  <w:abstractNum w:abstractNumId="34">
    <w:nsid w:val="741226BB"/>
    <w:multiLevelType w:val="hybridMultilevel"/>
    <w:lvl w:ilvl="0">
      <w:lvlJc w:val="left"/>
      <w:lvlText w:val="(%1)"/>
      <w:numFmt w:val="lowerLetter"/>
      <w:start w:val="14"/>
    </w:lvl>
  </w:abstractNum>
  <w:abstractNum w:abstractNumId="35">
    <w:nsid w:val="D34B6A8"/>
    <w:multiLevelType w:val="hybridMultilevel"/>
    <w:lvl w:ilvl="0">
      <w:lvlJc w:val="left"/>
      <w:lvlText w:val="(%1)"/>
      <w:numFmt w:val="lowerLetter"/>
      <w:start w:val="1"/>
    </w:lvl>
    <w:lvl w:ilvl="1">
      <w:lvlJc w:val="left"/>
      <w:lvlText w:val="(%2)"/>
      <w:numFmt w:val="lowerRoman"/>
      <w:start w:val="1"/>
    </w:lvl>
  </w:abstractNum>
  <w:abstractNum w:abstractNumId="36">
    <w:nsid w:val="10233C99"/>
    <w:multiLevelType w:val="hybridMultilevel"/>
    <w:lvl w:ilvl="0">
      <w:lvlJc w:val="left"/>
      <w:lvlText w:val="(%1)"/>
      <w:numFmt w:val="lowerLetter"/>
      <w:start w:val="2"/>
    </w:lvl>
  </w:abstractNum>
  <w:abstractNum w:abstractNumId="37">
    <w:nsid w:val="3F6AB60F"/>
    <w:multiLevelType w:val="hybridMultilevel"/>
    <w:lvl w:ilvl="0">
      <w:lvlJc w:val="left"/>
      <w:lvlText w:val="(%1)"/>
      <w:numFmt w:val="lowerLetter"/>
      <w:start w:val="1"/>
    </w:lvl>
  </w:abstractNum>
  <w:abstractNum w:abstractNumId="38">
    <w:nsid w:val="61574095"/>
    <w:multiLevelType w:val="hybridMultilevel"/>
    <w:lvl w:ilvl="0">
      <w:lvlJc w:val="left"/>
      <w:lvlText w:val="(%1)"/>
      <w:numFmt w:val="lowerRoman"/>
      <w:start w:val="1"/>
    </w:lvl>
  </w:abstractNum>
  <w:abstractNum w:abstractNumId="39">
    <w:nsid w:val="7E0C57B1"/>
    <w:multiLevelType w:val="hybridMultilevel"/>
    <w:lvl w:ilvl="0">
      <w:lvlJc w:val="left"/>
      <w:lvlText w:val="(%1)"/>
      <w:numFmt w:val="lowerLetter"/>
      <w:start w:val="5"/>
    </w:lvl>
  </w:abstractNum>
  <w:abstractNum w:abstractNumId="40">
    <w:nsid w:val="77AE35EB"/>
    <w:multiLevelType w:val="hybridMultilevel"/>
    <w:lvl w:ilvl="0">
      <w:lvlJc w:val="left"/>
      <w:lvlText w:val="%1."/>
      <w:numFmt w:val="decimal"/>
      <w:start w:val="1"/>
    </w:lvl>
  </w:abstractNum>
  <w:abstractNum w:abstractNumId="41">
    <w:nsid w:val="579BE4F1"/>
    <w:multiLevelType w:val="hybridMultilevel"/>
    <w:lvl w:ilvl="0">
      <w:lvlJc w:val="left"/>
      <w:lvlText w:val="%1"/>
      <w:numFmt w:val="lowerLetter"/>
      <w:start w:val="1"/>
    </w:lvl>
    <w:lvl w:ilvl="1">
      <w:lvlJc w:val="left"/>
      <w:lvlText w:val="(%2)"/>
      <w:numFmt w:val="lowerLetter"/>
      <w:start w:val="1"/>
    </w:lvl>
  </w:abstractNum>
  <w:abstractNum w:abstractNumId="42">
    <w:nsid w:val="310C50B3"/>
    <w:multiLevelType w:val="hybridMultilevel"/>
    <w:lvl w:ilvl="0">
      <w:lvlJc w:val="left"/>
      <w:lvlText w:val="(%1)"/>
      <w:numFmt w:val="lowerLetter"/>
      <w:start w:val="2"/>
    </w:lvl>
    <w:lvl w:ilvl="1">
      <w:lvlJc w:val="left"/>
      <w:lvlText w:val="(%2)"/>
      <w:numFmt w:val="lowerLetter"/>
      <w:start w:val="2"/>
    </w:lvl>
  </w:abstractNum>
  <w:abstractNum w:abstractNumId="43">
    <w:nsid w:val="5FF87E05"/>
    <w:multiLevelType w:val="hybridMultilevel"/>
    <w:lvl w:ilvl="0">
      <w:lvlJc w:val="left"/>
      <w:lvlText w:val="(%1)"/>
      <w:numFmt w:val="lowerLetter"/>
      <w:start w:val="4"/>
    </w:lvl>
  </w:abstractNum>
  <w:abstractNum w:abstractNumId="44">
    <w:nsid w:val="2F305DEF"/>
    <w:multiLevelType w:val="hybridMultilevel"/>
    <w:lvl w:ilvl="0">
      <w:lvlJc w:val="left"/>
      <w:lvlText w:val="(%1)"/>
      <w:numFmt w:val="lowerLetter"/>
      <w:start w:val="6"/>
    </w:lvl>
  </w:abstractNum>
  <w:abstractNum w:abstractNumId="45">
    <w:nsid w:val="25A70BF7"/>
    <w:multiLevelType w:val="hybridMultilevel"/>
    <w:lvl w:ilvl="0">
      <w:lvlJc w:val="left"/>
      <w:lvlText w:val="(%1)"/>
      <w:numFmt w:val="lowerLetter"/>
      <w:start w:val="1"/>
    </w:lvl>
  </w:abstractNum>
  <w:abstractNum w:abstractNumId="46">
    <w:nsid w:val="1DBABF00"/>
    <w:multiLevelType w:val="hybridMultilevel"/>
    <w:lvl w:ilvl="0">
      <w:lvlJc w:val="left"/>
      <w:lvlText w:val="5"/>
      <w:numFmt w:val="bullet"/>
      <w:start w:val="1"/>
    </w:lvl>
    <w:lvl w:ilvl="1">
      <w:lvlJc w:val="left"/>
      <w:lvlText w:val="(%2)"/>
      <w:numFmt w:val="lowerLetter"/>
      <w:start w:val="1"/>
    </w:lvl>
  </w:abstractNum>
  <w:abstractNum w:abstractNumId="47">
    <w:nsid w:val="4AD084E9"/>
    <w:multiLevelType w:val="hybridMultilevel"/>
    <w:lvl w:ilvl="0">
      <w:lvlJc w:val="left"/>
      <w:lvlText w:val="(%1)"/>
      <w:numFmt w:val="lowerLetter"/>
      <w:start w:val="2"/>
    </w:lvl>
  </w:abstractNum>
  <w:abstractNum w:abstractNumId="48">
    <w:nsid w:val="1F48EAA1"/>
    <w:multiLevelType w:val="hybridMultilevel"/>
    <w:lvl w:ilvl="0">
      <w:lvlJc w:val="left"/>
      <w:lvlText w:val="(%1)"/>
      <w:numFmt w:val="lowerLetter"/>
      <w:start w:val="1"/>
    </w:lvl>
  </w:abstractNum>
  <w:abstractNum w:abstractNumId="49">
    <w:nsid w:val="1381823A"/>
    <w:multiLevelType w:val="hybridMultilevel"/>
    <w:lvl w:ilvl="0">
      <w:lvlJc w:val="left"/>
      <w:lvlText w:val="(%1)"/>
      <w:numFmt w:val="lowerLetter"/>
      <w:start w:val="2"/>
    </w:lvl>
  </w:abstractNum>
  <w:abstractNum w:abstractNumId="50">
    <w:nsid w:val="5DB70AE5"/>
    <w:multiLevelType w:val="hybridMultilevel"/>
    <w:lvl w:ilvl="0">
      <w:lvlJc w:val="left"/>
      <w:lvlText w:val="%1"/>
      <w:numFmt w:val="lowerRoman"/>
      <w:start w:val="1"/>
    </w:lvl>
    <w:lvl w:ilvl="1">
      <w:lvlJc w:val="left"/>
      <w:lvlText w:val="(%2)"/>
      <w:numFmt w:val="lowerLetter"/>
      <w:start w:val="4"/>
    </w:lvl>
  </w:abstractNum>
  <w:abstractNum w:abstractNumId="51">
    <w:nsid w:val="100F8FCA"/>
    <w:multiLevelType w:val="hybridMultilevel"/>
    <w:lvl w:ilvl="0">
      <w:lvlJc w:val="left"/>
      <w:lvlText w:val="(%1)"/>
      <w:numFmt w:val="lowerRoman"/>
      <w:start w:val="3"/>
    </w:lvl>
    <w:lvl w:ilvl="1">
      <w:lvlJc w:val="left"/>
      <w:lvlText w:val="(%2)"/>
      <w:numFmt w:val="lowerLetter"/>
      <w:start w:val="5"/>
    </w:lvl>
  </w:abstractNum>
  <w:abstractNum w:abstractNumId="52">
    <w:nsid w:val="6590700B"/>
    <w:multiLevelType w:val="hybridMultilevel"/>
    <w:lvl w:ilvl="0">
      <w:lvlJc w:val="left"/>
      <w:lvlText w:val="(%1)"/>
      <w:numFmt w:val="lowerLetter"/>
      <w:start w:val="1"/>
    </w:lvl>
  </w:abstractNum>
  <w:abstractNum w:abstractNumId="53">
    <w:nsid w:val="15014ACB"/>
    <w:multiLevelType w:val="hybridMultilevel"/>
    <w:lvl w:ilvl="0">
      <w:lvlJc w:val="left"/>
      <w:lvlText w:val="(%1)"/>
      <w:numFmt w:val="lowerLetter"/>
      <w:start w:val="2"/>
    </w:lvl>
  </w:abstractNum>
  <w:abstractNum w:abstractNumId="54">
    <w:nsid w:val="5F5E7FD0"/>
    <w:multiLevelType w:val="hybridMultilevel"/>
    <w:lvl w:ilvl="0">
      <w:lvlJc w:val="left"/>
      <w:lvlText w:val="%1"/>
      <w:numFmt w:val="decimal"/>
      <w:start w:val="15"/>
    </w:lvl>
    <w:lvl w:ilvl="1">
      <w:lvlJc w:val="left"/>
      <w:lvlText w:val="(%2)"/>
      <w:numFmt w:val="lowerLetter"/>
      <w:start w:val="1"/>
    </w:lvl>
  </w:abstractNum>
  <w:abstractNum w:abstractNumId="55">
    <w:nsid w:val="98A3148"/>
    <w:multiLevelType w:val="hybridMultilevel"/>
    <w:lvl w:ilvl="0">
      <w:lvlJc w:val="left"/>
      <w:lvlText w:val="(%1)"/>
      <w:numFmt w:val="lowerLetter"/>
      <w:start w:val="2"/>
    </w:lvl>
  </w:abstractNum>
  <w:abstractNum w:abstractNumId="56">
    <w:nsid w:val="799D0247"/>
    <w:multiLevelType w:val="hybridMultilevel"/>
    <w:lvl w:ilvl="0">
      <w:lvlJc w:val="left"/>
      <w:lvlText w:val="(%1)"/>
      <w:numFmt w:val="decimal"/>
      <w:start w:val="1"/>
    </w:lvl>
    <w:lvl w:ilvl="1">
      <w:lvlJc w:val="left"/>
      <w:lvlText w:val="☐"/>
      <w:numFmt w:val="bullet"/>
      <w:start w:val="1"/>
    </w:lvl>
  </w:abstractNum>
  <w:abstractNum w:abstractNumId="57">
    <w:nsid w:val="6B94764"/>
    <w:multiLevelType w:val="hybridMultilevel"/>
    <w:lvl w:ilvl="0">
      <w:lvlJc w:val="left"/>
      <w:lvlText w:val="(%1)"/>
      <w:numFmt w:val="lowerRoman"/>
      <w:start w:val="1"/>
    </w:lvl>
  </w:abstractNum>
  <w:abstractNum w:abstractNumId="58">
    <w:nsid w:val="42C296BD"/>
    <w:multiLevelType w:val="hybridMultilevel"/>
    <w:lvl w:ilvl="0">
      <w:lvlJc w:val="left"/>
      <w:lvlText w:val="(%1)"/>
      <w:numFmt w:val="lowerRoman"/>
      <w:start w:val="2"/>
    </w:lvl>
  </w:abstractNum>
  <w:abstractNum w:abstractNumId="59">
    <w:nsid w:val="168E121F"/>
    <w:multiLevelType w:val="hybridMultilevel"/>
    <w:lvl w:ilvl="0">
      <w:lvlJc w:val="left"/>
      <w:lvlText w:val="(%1)"/>
      <w:numFmt w:val="decimal"/>
      <w:start w:val="2"/>
    </w:lvl>
  </w:abstractNum>
  <w:abstractNum w:abstractNumId="60">
    <w:nsid w:val="1EBA5D23"/>
    <w:multiLevelType w:val="hybridMultilevel"/>
    <w:lvl w:ilvl="0">
      <w:lvlJc w:val="left"/>
      <w:lvlText w:val="%1"/>
      <w:numFmt w:val="lowerLetter"/>
      <w:start w:val="1"/>
    </w:lvl>
    <w:lvl w:ilvl="1">
      <w:lvlJc w:val="left"/>
      <w:lvlText w:val="(%2)"/>
      <w:numFmt w:val="lowerLetter"/>
      <w:start w:val="1"/>
    </w:lvl>
  </w:abstractNum>
  <w:abstractNum w:abstractNumId="61">
    <w:nsid w:val="661E3F1E"/>
    <w:multiLevelType w:val="hybridMultilevel"/>
    <w:lvl w:ilvl="0">
      <w:lvlJc w:val="left"/>
      <w:lvlText w:val="(%1)"/>
      <w:numFmt w:val="lowerLetter"/>
      <w:start w:val="2"/>
    </w:lvl>
    <w:lvl w:ilvl="1">
      <w:lvlJc w:val="left"/>
      <w:lvlText w:val="(%2)"/>
      <w:numFmt w:val="lowerLetter"/>
      <w:start w:val="2"/>
    </w:lvl>
  </w:abstractNum>
  <w:abstractNum w:abstractNumId="62">
    <w:nsid w:val="5DC79EA8"/>
    <w:multiLevelType w:val="hybridMultilevel"/>
    <w:lvl w:ilvl="0">
      <w:lvlJc w:val="left"/>
      <w:lvlText w:val="(%1)"/>
      <w:numFmt w:val="lowerLetter"/>
      <w:start w:val="4"/>
    </w:lvl>
  </w:abstractNum>
  <w:abstractNum w:abstractNumId="63">
    <w:nsid w:val="540A471C"/>
    <w:multiLevelType w:val="hybridMultilevel"/>
    <w:lvl w:ilvl="0">
      <w:lvlJc w:val="left"/>
      <w:lvlText w:val="(%1)"/>
      <w:numFmt w:val="lowerLetter"/>
      <w:start w:val="6"/>
    </w:lvl>
  </w:abstractNum>
  <w:abstractNum w:abstractNumId="64">
    <w:nsid w:val="7BD3EE7B"/>
    <w:multiLevelType w:val="hybridMultilevel"/>
    <w:lvl w:ilvl="0">
      <w:lvlJc w:val="left"/>
      <w:lvlText w:val="(%1)"/>
      <w:numFmt w:val="lowerLetter"/>
      <w:start w:val="1"/>
    </w:lvl>
  </w:abstractNum>
  <w:abstractNum w:abstractNumId="65">
    <w:nsid w:val="51D9C564"/>
    <w:multiLevelType w:val="hybridMultilevel"/>
    <w:lvl w:ilvl="0">
      <w:lvlJc w:val="left"/>
      <w:lvlText w:val="5"/>
      <w:numFmt w:val="bullet"/>
      <w:start w:val="1"/>
    </w:lvl>
    <w:lvl w:ilvl="1">
      <w:lvlJc w:val="left"/>
      <w:lvlText w:val="(%2)"/>
      <w:numFmt w:val="lowerLetter"/>
      <w:start w:val="1"/>
    </w:lvl>
  </w:abstractNum>
  <w:abstractNum w:abstractNumId="66">
    <w:nsid w:val="613EFDC5"/>
    <w:multiLevelType w:val="hybridMultilevel"/>
    <w:lvl w:ilvl="0">
      <w:lvlJc w:val="left"/>
      <w:lvlText w:val="(%1)"/>
      <w:numFmt w:val="lowerLetter"/>
      <w:start w:val="2"/>
    </w:lvl>
  </w:abstractNum>
  <w:abstractNum w:abstractNumId="67">
    <w:nsid w:val="BF72B14"/>
    <w:multiLevelType w:val="hybridMultilevel"/>
    <w:lvl w:ilvl="0">
      <w:lvlJc w:val="left"/>
      <w:lvlText w:val="(%1)"/>
      <w:numFmt w:val="lowerLetter"/>
      <w:start w:val="1"/>
    </w:lvl>
  </w:abstractNum>
  <w:abstractNum w:abstractNumId="68">
    <w:nsid w:val="11447B73"/>
    <w:multiLevelType w:val="hybridMultilevel"/>
    <w:lvl w:ilvl="0">
      <w:lvlJc w:val="left"/>
      <w:lvlText w:val="(%1)"/>
      <w:numFmt w:val="lowerLetter"/>
      <w:start w:val="2"/>
    </w:lvl>
  </w:abstractNum>
  <w:abstractNum w:abstractNumId="69">
    <w:nsid w:val="42963E5A"/>
    <w:multiLevelType w:val="hybridMultilevel"/>
    <w:lvl w:ilvl="0">
      <w:lvlJc w:val="left"/>
      <w:lvlText w:val="%1"/>
      <w:numFmt w:val="lowerRoman"/>
      <w:start w:val="1"/>
    </w:lvl>
    <w:lvl w:ilvl="1">
      <w:lvlJc w:val="left"/>
      <w:lvlText w:val="(%2)"/>
      <w:numFmt w:val="lowerLetter"/>
      <w:start w:val="4"/>
    </w:lvl>
  </w:abstractNum>
  <w:abstractNum w:abstractNumId="70">
    <w:nsid w:val="A0382C5"/>
    <w:multiLevelType w:val="hybridMultilevel"/>
    <w:lvl w:ilvl="0">
      <w:lvlJc w:val="left"/>
      <w:lvlText w:val="(%1)"/>
      <w:numFmt w:val="lowerRoman"/>
      <w:start w:val="3"/>
    </w:lvl>
    <w:lvl w:ilvl="1">
      <w:lvlJc w:val="left"/>
      <w:lvlText w:val="(%2)"/>
      <w:numFmt w:val="lowerLetter"/>
      <w:start w:val="5"/>
    </w:lvl>
  </w:abstractNum>
  <w:abstractNum w:abstractNumId="71">
    <w:nsid w:val="8F2B15E"/>
    <w:multiLevelType w:val="hybridMultilevel"/>
    <w:lvl w:ilvl="0">
      <w:lvlJc w:val="left"/>
      <w:lvlText w:val="(%1)"/>
      <w:numFmt w:val="lowerLetter"/>
      <w:start w:val="1"/>
    </w:lvl>
  </w:abstractNum>
  <w:abstractNum w:abstractNumId="72">
    <w:nsid w:val="1A32234B"/>
    <w:multiLevelType w:val="hybridMultilevel"/>
    <w:lvl w:ilvl="0">
      <w:lvlJc w:val="left"/>
      <w:lvlText w:val="(%1)"/>
      <w:numFmt w:val="lowerLetter"/>
      <w:start w:val="2"/>
    </w:lvl>
  </w:abstractNum>
  <w:abstractNum w:abstractNumId="73">
    <w:nsid w:val="3B0FD379"/>
    <w:multiLevelType w:val="hybridMultilevel"/>
    <w:lvl w:ilvl="0">
      <w:lvlJc w:val="left"/>
      <w:lvlText w:val="%1"/>
      <w:numFmt w:val="decimal"/>
      <w:start w:val="15"/>
    </w:lvl>
    <w:lvl w:ilvl="1">
      <w:lvlJc w:val="left"/>
      <w:lvlText w:val="(%2)"/>
      <w:numFmt w:val="lowerLetter"/>
      <w:start w:val="1"/>
    </w:lvl>
  </w:abstractNum>
  <w:abstractNum w:abstractNumId="74">
    <w:nsid w:val="68EB2F63"/>
    <w:multiLevelType w:val="hybridMultilevel"/>
    <w:lvl w:ilvl="0">
      <w:lvlJc w:val="left"/>
      <w:lvlText w:val="(%1)"/>
      <w:numFmt w:val="lowerLetter"/>
      <w:start w:val="2"/>
    </w:lvl>
  </w:abstractNum>
  <w:abstractNum w:abstractNumId="75">
    <w:nsid w:val="4962813B"/>
    <w:multiLevelType w:val="hybridMultilevel"/>
    <w:lvl w:ilvl="0">
      <w:lvlJc w:val="left"/>
      <w:lvlText w:val="(%1)"/>
      <w:numFmt w:val="decimal"/>
      <w:start w:val="1"/>
    </w:lvl>
    <w:lvl w:ilvl="1">
      <w:lvlJc w:val="left"/>
      <w:lvlText w:val="☐"/>
      <w:numFmt w:val="bullet"/>
      <w:start w:val="1"/>
    </w:lvl>
  </w:abstractNum>
  <w:abstractNum w:abstractNumId="76">
    <w:nsid w:val="60B6DF70"/>
    <w:multiLevelType w:val="hybridMultilevel"/>
    <w:lvl w:ilvl="0">
      <w:lvlJc w:val="left"/>
      <w:lvlText w:val="%1."/>
      <w:numFmt w:val="decimal"/>
      <w:start w:val="1"/>
    </w:lvl>
  </w:abstractNum>
  <w:abstractNum w:abstractNumId="77">
    <w:nsid w:val="6A5EE64"/>
    <w:multiLevelType w:val="hybridMultilevel"/>
    <w:lvl w:ilvl="0">
      <w:lvlJc w:val="left"/>
      <w:lvlText w:val="%1."/>
      <w:numFmt w:val="decimal"/>
      <w:start w:val="1"/>
    </w:lvl>
  </w:abstractNum>
  <w:abstractNum w:abstractNumId="78">
    <w:nsid w:val="14330624"/>
    <w:multiLevelType w:val="hybridMultilevel"/>
    <w:lvl w:ilvl="0">
      <w:lvlJc w:val="left"/>
      <w:lvlText w:val="%1."/>
      <w:numFmt w:val="decimal"/>
      <w:start w:val="1"/>
    </w:lvl>
  </w:abstractNum>
  <w:abstractNum w:abstractNumId="79">
    <w:nsid w:val="7FFFCA11"/>
    <w:multiLevelType w:val="hybridMultilevel"/>
    <w:lvl w:ilvl="0">
      <w:lvlJc w:val="left"/>
      <w:lvlText w:val="%1."/>
      <w:numFmt w:val="decimal"/>
      <w:start w:val="4"/>
    </w:lvl>
  </w:abstractNum>
  <w:abstractNum w:abstractNumId="80">
    <w:nsid w:val="1A27709E"/>
    <w:multiLevelType w:val="hybridMultilevel"/>
    <w:lvl w:ilvl="0">
      <w:lvlJc w:val="left"/>
      <w:lvlText w:val="%1."/>
      <w:numFmt w:val="decimal"/>
      <w:start w:val="14"/>
    </w:lvl>
  </w:abstractNum>
  <w:abstractNum w:abstractNumId="81">
    <w:nsid w:val="71EA1109"/>
    <w:multiLevelType w:val="hybridMultilevel"/>
    <w:lvl w:ilvl="0">
      <w:lvlJc w:val="left"/>
      <w:lvlText w:val="%1."/>
      <w:numFmt w:val="decimal"/>
      <w:start w:val="1"/>
    </w:lvl>
    <w:lvl w:ilvl="1">
      <w:lvlJc w:val="left"/>
      <w:lvlText w:val="(%2)"/>
      <w:numFmt w:val="lowerLetter"/>
      <w:start w:val="1"/>
    </w:lvl>
  </w:abstractNum>
  <w:abstractNum w:abstractNumId="82">
    <w:nsid w:val="100F59DC"/>
    <w:multiLevelType w:val="hybridMultilevel"/>
    <w:lvl w:ilvl="0">
      <w:lvlJc w:val="left"/>
      <w:lvlText w:val="%1"/>
      <w:numFmt w:val="decimal"/>
      <w:start w:val="1"/>
    </w:lvl>
    <w:lvl w:ilvl="1">
      <w:lvlJc w:val="left"/>
      <w:lvlText w:val="(%2)"/>
      <w:numFmt w:val="lowerLetter"/>
      <w:start w:val="2"/>
    </w:lvl>
  </w:abstractNum>
  <w:abstractNum w:abstractNumId="83">
    <w:nsid w:val="7FB7E0AA"/>
    <w:multiLevelType w:val="hybridMultilevel"/>
    <w:lvl w:ilvl="0">
      <w:lvlJc w:val="left"/>
      <w:lvlText w:val="%1."/>
      <w:numFmt w:val="decimal"/>
      <w:start w:val="2"/>
    </w:lvl>
    <w:lvl w:ilvl="1">
      <w:lvlJc w:val="left"/>
      <w:lvlText w:val="%2"/>
      <w:numFmt w:val="lowerLetter"/>
      <w:start w:val="1"/>
    </w:lvl>
  </w:abstractNum>
  <w:abstractNum w:abstractNumId="84">
    <w:nsid w:val="6EB5BD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2026-06-25T05:31:01Z</dcterms:created>
  <dcterms:modified xsi:type="dcterms:W3CDTF">2026-06-25T05:31:01Z</dcterms:modified>
</cp:coreProperties>
</file>