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333-274286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11, 2023)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9,000,000 Class A Ordinary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up to 1,000,000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142875</wp:posOffset>
            </wp:positionV>
            <wp:extent cx="2117090"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offering 9,000,000 Class A Ordinary Shares, par value $0.0001 per share, and, in lieu of Class A Ordinary Shares to certain investors that so choose, pre-funded warrants to purchase up to 1,000,000 Class A Ordinary Shares, pursuant to this prospectus supplement and the accompanying prospectus. The purchase price of each pre-funded warrant will equal the price per share at which our Class A Ordinary Shares are being sold to the public in this offering, minus $0.0001, the exercise price of each pre-funded warrant. The public offering price for each Class A Ordinary Share is $20.00. We are also offering the Class A Ordinary Shares that are issuable from time to time upon exercise of the pre-funded warrants.</w:t>
      </w:r>
    </w:p>
    <w:p>
      <w:pPr>
        <w:spacing w:after="0" w:line="183"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apply for listing of the pre-funded warrants on the Nasdaq Capital Market or any securities exchange or nationally recognized trading system. Without an active trading market, the liquidity of the pre-funded warrants will be limited.</w:t>
      </w:r>
    </w:p>
    <w:p>
      <w:pPr>
        <w:spacing w:after="0" w:line="176"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“MLTX.” On June 23, 2026, the last reported sale price of our Class A Ordinary Shares as reported on the Nasdaq Capital Market was $21.22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w:t>
      </w:r>
    </w:p>
    <w:p>
      <w:pPr>
        <w:spacing w:after="0" w:line="31" w:lineRule="exact"/>
        <w:rPr>
          <w:sz w:val="24"/>
          <w:szCs w:val="24"/>
          <w:color w:val="auto"/>
        </w:rPr>
      </w:pPr>
    </w:p>
    <w:p>
      <w:pPr>
        <w:ind w:right="240"/>
        <w:spacing w:after="0" w:line="260"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S-4 of this prospectus supplement, and under similar headings in the documents that are incorporated by reference into this prospectus supplement and the accompanying prospectus.</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Pre-funded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40" w:type="dxa"/>
            <w:vAlign w:val="bottom"/>
          </w:tcPr>
          <w:p>
            <w:pPr>
              <w:spacing w:after="0"/>
              <w:rPr>
                <w:sz w:val="21"/>
                <w:szCs w:val="21"/>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60" w:type="dxa"/>
            <w:vAlign w:val="bottom"/>
          </w:tcPr>
          <w:p>
            <w:pPr>
              <w:spacing w:after="0"/>
              <w:rPr>
                <w:sz w:val="21"/>
                <w:szCs w:val="21"/>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9"/>
                <w:szCs w:val="29"/>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11,000,000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MoonLake Immunotherapeutics, before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18.8999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188,999,900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 See the section of this prospectus supplement entitled “Underwriting” for a description of the compensation payable to the underwriters.</w:t>
      </w:r>
    </w:p>
    <w:p>
      <w:pPr>
        <w:spacing w:after="0" w:line="225" w:lineRule="exact"/>
        <w:rPr>
          <w:sz w:val="24"/>
          <w:szCs w:val="24"/>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1,500,000 additional Class A Ordinary Shares, at the public offering price, less the underwriting discount, for 30 days after the date of this prospectus supplement.</w:t>
      </w:r>
    </w:p>
    <w:p>
      <w:pPr>
        <w:spacing w:after="0" w:line="158" w:lineRule="exact"/>
        <w:rPr>
          <w:sz w:val="24"/>
          <w:szCs w:val="24"/>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and the accompanying prospectus are truthful or complete. Any representation to the contrary is a criminal offense.</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Delivery of the Class A Ordinary Shares and pre-funded warrants being offered hereby is expected to be made on or about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Leerink Partners</w:t>
            </w:r>
          </w:p>
        </w:tc>
        <w:tc>
          <w:tcPr>
            <w:tcW w:w="37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Guggenheim Securities</w:t>
            </w: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Cantor</w:t>
            </w:r>
          </w:p>
        </w:tc>
        <w:tc>
          <w:tcPr>
            <w:tcW w:w="338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LifeSci Capital</w:t>
            </w:r>
          </w:p>
        </w:tc>
      </w:tr>
      <w:tr>
        <w:trPr>
          <w:trHeight w:val="432"/>
        </w:trPr>
        <w:tc>
          <w:tcPr>
            <w:tcW w:w="2700" w:type="dxa"/>
            <w:vAlign w:val="bottom"/>
          </w:tcPr>
          <w:p>
            <w:pPr>
              <w:spacing w:after="0"/>
              <w:rPr>
                <w:sz w:val="24"/>
                <w:szCs w:val="24"/>
                <w:color w:val="auto"/>
              </w:rPr>
            </w:pPr>
          </w:p>
        </w:tc>
        <w:tc>
          <w:tcPr>
            <w:tcW w:w="3780" w:type="dxa"/>
            <w:vAlign w:val="bottom"/>
          </w:tcPr>
          <w:p>
            <w:pPr>
              <w:jc w:val="center"/>
              <w:ind w:left="1990"/>
              <w:spacing w:after="0"/>
              <w:rPr>
                <w:sz w:val="20"/>
                <w:szCs w:val="20"/>
                <w:color w:val="auto"/>
              </w:rPr>
            </w:pPr>
            <w:r>
              <w:rPr>
                <w:rFonts w:ascii="Times New Roman" w:cs="Times New Roman" w:eastAsia="Times New Roman" w:hAnsi="Times New Roman"/>
                <w:sz w:val="18"/>
                <w:szCs w:val="18"/>
                <w:i w:val="1"/>
                <w:iCs w:val="1"/>
                <w:color w:val="auto"/>
              </w:rPr>
              <w:t>Lead Managers</w:t>
            </w:r>
          </w:p>
        </w:tc>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32"/>
        </w:trPr>
        <w:tc>
          <w:tcPr>
            <w:tcW w:w="648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H.C. Wainwright &amp; Co.</w:t>
            </w:r>
          </w:p>
        </w:tc>
        <w:tc>
          <w:tcPr>
            <w:tcW w:w="1380" w:type="dxa"/>
            <w:vAlign w:val="bottom"/>
          </w:tcPr>
          <w:p>
            <w:pPr>
              <w:spacing w:after="0"/>
              <w:rPr>
                <w:sz w:val="24"/>
                <w:szCs w:val="24"/>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Clear Street</w:t>
            </w:r>
          </w:p>
        </w:tc>
      </w:tr>
      <w:tr>
        <w:trPr>
          <w:trHeight w:val="432"/>
        </w:trPr>
        <w:tc>
          <w:tcPr>
            <w:tcW w:w="2700" w:type="dxa"/>
            <w:vAlign w:val="bottom"/>
          </w:tcPr>
          <w:p>
            <w:pPr>
              <w:spacing w:after="0"/>
              <w:rPr>
                <w:sz w:val="24"/>
                <w:szCs w:val="24"/>
                <w:color w:val="auto"/>
              </w:rPr>
            </w:pPr>
          </w:p>
        </w:tc>
        <w:tc>
          <w:tcPr>
            <w:tcW w:w="51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The date of this prospectus supplement is June 23, 2026</w:t>
            </w:r>
          </w:p>
        </w:tc>
        <w:tc>
          <w:tcPr>
            <w:tcW w:w="3380" w:type="dxa"/>
            <w:vAlign w:val="bottom"/>
          </w:tcPr>
          <w:p>
            <w:pPr>
              <w:spacing w:after="0"/>
              <w:rPr>
                <w:sz w:val="24"/>
                <w:szCs w:val="24"/>
                <w:color w:val="auto"/>
              </w:rPr>
            </w:pPr>
          </w:p>
        </w:tc>
      </w:tr>
      <w:tr>
        <w:trPr>
          <w:trHeight w:val="682"/>
        </w:trPr>
        <w:tc>
          <w:tcPr>
            <w:tcW w:w="27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6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7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6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70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19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5"/>
        </w:trPr>
        <w:tc>
          <w:tcPr>
            <w:tcW w:w="344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100" w:type="dxa"/>
            <w:vAlign w:val="bottom"/>
            <w:tcBorders>
              <w:top w:val="single" w:sz="8" w:color="CCEEFF"/>
            </w:tcBorders>
            <w:gridSpan w:val="7"/>
          </w:tcPr>
          <w:p>
            <w:pPr>
              <w:spacing w:after="0"/>
              <w:rPr>
                <w:sz w:val="15"/>
                <w:szCs w:val="15"/>
                <w:color w:val="auto"/>
              </w:rPr>
            </w:pPr>
          </w:p>
        </w:tc>
        <w:tc>
          <w:tcPr>
            <w:tcW w:w="2700" w:type="dxa"/>
            <w:vAlign w:val="bottom"/>
            <w:tcBorders>
              <w:top w:val="single" w:sz="8" w:color="CCEEFF"/>
            </w:tcBorders>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70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176"/>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260" w:type="dxa"/>
            <w:vAlign w:val="bottom"/>
            <w:tcBorders>
              <w:top w:val="single" w:sz="8" w:color="CCEEFF"/>
            </w:tcBorders>
            <w:gridSpan w:val="19"/>
          </w:tcPr>
          <w:p>
            <w:pPr>
              <w:spacing w:after="0"/>
              <w:rPr>
                <w:sz w:val="15"/>
                <w:szCs w:val="15"/>
                <w:color w:val="auto"/>
              </w:rPr>
            </w:pPr>
          </w:p>
        </w:tc>
        <w:tc>
          <w:tcPr>
            <w:tcW w:w="2700" w:type="dxa"/>
            <w:vAlign w:val="bottom"/>
            <w:tcBorders>
              <w:top w:val="single" w:sz="8" w:color="CCEEFF"/>
            </w:tcBorders>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70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175"/>
        </w:trPr>
        <w:tc>
          <w:tcPr>
            <w:tcW w:w="534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200" w:type="dxa"/>
            <w:vAlign w:val="bottom"/>
            <w:tcBorders>
              <w:top w:val="single" w:sz="8" w:color="CCEEFF"/>
            </w:tcBorders>
            <w:gridSpan w:val="2"/>
          </w:tcPr>
          <w:p>
            <w:pPr>
              <w:spacing w:after="0"/>
              <w:rPr>
                <w:sz w:val="15"/>
                <w:szCs w:val="15"/>
                <w:color w:val="auto"/>
              </w:rPr>
            </w:pPr>
          </w:p>
        </w:tc>
        <w:tc>
          <w:tcPr>
            <w:tcW w:w="2700" w:type="dxa"/>
            <w:vAlign w:val="bottom"/>
            <w:tcBorders>
              <w:top w:val="single" w:sz="8" w:color="CCEEFF"/>
            </w:tcBorders>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5"/>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270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 FEDERAL INCOME TAX CONSIDERATIONS</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4360" w:type="dxa"/>
            <w:vAlign w:val="bottom"/>
            <w:tcBorders>
              <w:bottom w:val="single" w:sz="8" w:color="CCEEFF"/>
            </w:tcBorders>
            <w:gridSpan w:val="4"/>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176"/>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UNDERWRITING</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S-26</w:t>
            </w: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080" w:type="dxa"/>
            <w:vAlign w:val="bottom"/>
            <w:tcBorders>
              <w:top w:val="single" w:sz="8" w:color="CCEEFF"/>
            </w:tcBorders>
            <w:gridSpan w:val="17"/>
          </w:tcPr>
          <w:p>
            <w:pPr>
              <w:spacing w:after="0"/>
              <w:rPr>
                <w:sz w:val="15"/>
                <w:szCs w:val="15"/>
                <w:color w:val="auto"/>
              </w:rPr>
            </w:pPr>
          </w:p>
        </w:tc>
        <w:tc>
          <w:tcPr>
            <w:tcW w:w="2700" w:type="dxa"/>
            <w:vAlign w:val="bottom"/>
            <w:tcBorders>
              <w:top w:val="single" w:sz="8" w:color="CCEEFF"/>
            </w:tcBorders>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S-26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5"/>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S-27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S-28</w:t>
            </w:r>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360" w:type="dxa"/>
            <w:vAlign w:val="bottom"/>
            <w:gridSpan w:val="3"/>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700" w:type="dxa"/>
            <w:vAlign w:val="bottom"/>
          </w:tcPr>
          <w:p>
            <w:pPr>
              <w:spacing w:after="0"/>
              <w:rPr>
                <w:sz w:val="24"/>
                <w:szCs w:val="24"/>
                <w:color w:val="auto"/>
              </w:rPr>
            </w:pPr>
          </w:p>
        </w:tc>
      </w:tr>
      <w:tr>
        <w:trPr>
          <w:trHeight w:val="216"/>
        </w:trPr>
        <w:tc>
          <w:tcPr>
            <w:tcW w:w="1280" w:type="dxa"/>
            <w:vAlign w:val="bottom"/>
            <w:gridSpan w:val="4"/>
          </w:tcPr>
          <w:p>
            <w:pPr>
              <w:spacing w:after="0"/>
              <w:rPr>
                <w:sz w:val="18"/>
                <w:szCs w:val="18"/>
                <w:color w:val="auto"/>
              </w:rPr>
            </w:pPr>
          </w:p>
        </w:tc>
        <w:tc>
          <w:tcPr>
            <w:tcW w:w="74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gridSpan w:val="8"/>
          </w:tcPr>
          <w:p>
            <w:pPr>
              <w:spacing w:after="0"/>
              <w:rPr>
                <w:sz w:val="18"/>
                <w:szCs w:val="18"/>
                <w:color w:val="auto"/>
              </w:rPr>
            </w:pPr>
          </w:p>
        </w:tc>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00" w:type="dxa"/>
            <w:vAlign w:val="bottom"/>
            <w:tcBorders>
              <w:bottom w:val="single" w:sz="8" w:color="CCEEFF"/>
            </w:tcBorders>
            <w:gridSpan w:val="12"/>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270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270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260" w:type="dxa"/>
            <w:vAlign w:val="bottom"/>
            <w:tcBorders>
              <w:top w:val="single" w:sz="8" w:color="CCEEFF"/>
            </w:tcBorders>
            <w:gridSpan w:val="19"/>
          </w:tcPr>
          <w:p>
            <w:pPr>
              <w:spacing w:after="0"/>
              <w:rPr>
                <w:sz w:val="15"/>
                <w:szCs w:val="15"/>
                <w:color w:val="auto"/>
              </w:rPr>
            </w:pPr>
          </w:p>
        </w:tc>
        <w:tc>
          <w:tcPr>
            <w:tcW w:w="2700" w:type="dxa"/>
            <w:vAlign w:val="bottom"/>
            <w:tcBorders>
              <w:top w:val="single" w:sz="8" w:color="CCEEFF"/>
            </w:tcBorders>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70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SECURITIES WE MAY OFFER</w:t>
            </w:r>
          </w:p>
        </w:tc>
        <w:tc>
          <w:tcPr>
            <w:tcW w:w="270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5"/>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SHARES</w:t>
            </w:r>
          </w:p>
        </w:tc>
        <w:tc>
          <w:tcPr>
            <w:tcW w:w="270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70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248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060" w:type="dxa"/>
            <w:vAlign w:val="bottom"/>
            <w:tcBorders>
              <w:top w:val="single" w:sz="8" w:color="CCEEFF"/>
            </w:tcBorders>
            <w:gridSpan w:val="10"/>
          </w:tcPr>
          <w:p>
            <w:pPr>
              <w:spacing w:after="0"/>
              <w:rPr>
                <w:sz w:val="15"/>
                <w:szCs w:val="15"/>
                <w:color w:val="auto"/>
              </w:rPr>
            </w:pPr>
          </w:p>
        </w:tc>
        <w:tc>
          <w:tcPr>
            <w:tcW w:w="2700" w:type="dxa"/>
            <w:vAlign w:val="bottom"/>
            <w:tcBorders>
              <w:top w:val="single" w:sz="8" w:color="CCEEFF"/>
            </w:tcBorders>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480" w:type="dxa"/>
            <w:vAlign w:val="bottom"/>
            <w:tcBorders>
              <w:bottom w:val="single" w:sz="8" w:color="CCEEFF"/>
            </w:tcBorders>
            <w:gridSpan w:val="14"/>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760" w:type="dxa"/>
            <w:vAlign w:val="bottom"/>
            <w:tcBorders>
              <w:bottom w:val="single" w:sz="8" w:color="CCEEFF"/>
            </w:tcBorders>
            <w:gridSpan w:val="22"/>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85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6"/>
        </w:trPr>
        <w:tc>
          <w:tcPr>
            <w:tcW w:w="85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responsible for the information contained and incorporated by reference in this prospectus supplement, the accompanying prospectus and in any free writing prospectus that we have authorized for use in connection with this offering. We and the underwriters have not authorized anyone to give you any other information, and we and the underwriters take no responsibility for any other information that others may give you. We and the underwriters are not making offers to sell the securities in any jurisdiction in which an offer or solicitation is not authorized or permitted or in which the person making such offer or solicitation is not qualified to do so or to anyone to whom it is unlawful to make an offer or solicitation. The information contained and incorporated by reference in this prospectus supplement, the accompanying prospectus and any free writing prospectus that we and the underwriters have authorized for use in connection with this offering speaks only as of the date of this document, unless the information specifically indicates that another date applies. Neither the delivery of this prospectus supplement, the accompanying prospectus or any free writing prospectus that we and the underwriters have authorized for use in connection with this offering, nor any sale of securities made under these documents, will, under any circumstances, create any implication that there has been no change in our affairs since the date of this prospectus supplement, the accompanying prospectus or any free writing prospectus that we and the underwriters have authorized for use in connection with this offering, nor that the information contained or incorporated by reference is correct as of any time subsequent to the date of such information. You should assume that the information contained and incorporated by reference in this prospectus supplement, the accompanying prospectus and in any free writing prospectus that we and the underwriters have authorized for use in connection with this offering is accurate only as of the date of the documents containing the information, unless the information specifically indicates that another date applies. Our business, financial condition, results of operations and prospects may have changed since those dates.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offering of our securities and form part of a registration statement on Form S-3 that we filed with the U.S. Securities and Exchange Commission (the “SEC”) using a “shelf” registration process. Before buying any of the securities that we are offering, we urge you to carefully read this prospectus supplement and the accompanying prospectus, together with the information incorporated by reference as described under the headings “Where You Can Find More Information” and “Incorporation of Certain Information by Reference” in this prospectus supplement. These documents contain important information that you should consider when making your investment decision. Unless the context otherwise requires, references to “MoonLake,” “we,” “us,” “our,” “our Company,” “the Company” and “our business” refer to MoonLake Immunotherapeutics and its consolidated subsidiaries.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describes the terms of this offering of our securities and also adds to and updates information contained in the documents incorporated by reference into this prospectus. Generally, when we refer to this prospectus, we are referring to both this prospectus supplement and the accompanying prospectus. To the extent the information contained in this prospectus supplement differs from or conflicts with the information contained in the accompanying prospectus or any document incorporated by reference, the information in this prospectus supplement will control. If any statement in one of these documents is inconsistent with a statement in another document having a later date—for example, a document incorporated by reference into this prospectus supplement and the accompanying prospectus—the statement in the document having the later date modifies or supersedes the earlier statement.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596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6596380"/>
                    </a:xfrm>
                    <a:prstGeom prst="rect">
                      <a:avLst/>
                    </a:prstGeom>
                    <a:noFill/>
                  </pic:spPr>
                </pic:pic>
              </a:graphicData>
            </a:graphic>
          </wp:anchor>
        </w:drawing>
        <w:t>PROSPECTUS SUPPLEMENT SUMMARY</w:t>
      </w:r>
    </w:p>
    <w:p>
      <w:pPr>
        <w:spacing w:after="0" w:line="2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securities. For a more complete understanding of our company and this offering, we encourage you to read and consider carefully the more detailed information in this prospectus supplement and the accompanying prospectus, including the information incorporated by reference into this prospectus supplement and the accompanying prospectus, including the information contained in and incorporated by reference under the heading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i w:val="1"/>
          <w:iCs w:val="1"/>
          <w:color w:val="auto"/>
        </w:rPr>
        <w:t>” beginning on page S-4 of this prospectus supplement, and under similar headings in the other documents that are filed after the date hereof and incorporated by reference into this prospectus supplement and the accompanying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a clinical stage biotechnology company advancing therapies to address significant unmet needs in inflammatory skin and joint diseases. We are currently a single asset company focused on the development of Sonelokimab (“SLK”), a novel tri-specific IL-17A and IL-17F inhibiting Nanobody, that we exclusively licensed from Merck Healthcare KGaA, Darmstadt, Germany (“MHKDG”) and that has the potential, based on response levels seen in clinical trials, to drive disease modification in dermatology and rheumatology patients.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SLK is a proprietary Nanobody that was discovered by Ablynx N.V., Belgium, a Sanofi company (“Ablynx”), and previously studied by MHKDG and Avillion LLP under a 2017 co-development agreement. The terms “Nanobody” and “Nanobodies” used herein are registered trademarks of Ablynx. Nanobodies are able to bind selectively to a specific antigen with high affinity. Nanobodies have a fraction of the molecular weight compared to traditional antibodies. They offer a number of potential advantages over traditional monoclonal antibodies, including the potential to create multivalent molecules with enhanced ability to penetrate inflamed tissue, especially when containing an additional albumin binding domain such as SLK, an easier manufacturing process and a higher thermostability.</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currently develop SLK in inflammatory diseases in dermatology and rheumatology where the pathophysiology is known to be driven by IL-17A and IL-17F. This group of diseases comprises our current target diseases, hidradenitis suppurativa (“HS”), psoriatic arthritis (“PsA”), axial spondyloarthritis (“axSpA”), palmoplantar pustulosis (“PPP”), and several other inflammatory conditions, including psoriasis (“PsO”). Our current target diseases affect millions of people worldwide, and we believe there is a need for improved treatment options. We believe that SLK has a differentiated mechanism of action and that its purposefully designed molecular characteristics, including its small size and its albumin binding site, facilitate deep tissue penetration in the skin and joints. We envision SLK as a key therapeutic alternative in our initial target indications and potentially in multiple other IL-17 driven inflammatory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from the Phase 3 VELA clinical trials at Week 52</w:t>
      </w:r>
    </w:p>
    <w:p>
      <w:pPr>
        <w:spacing w:after="0" w:line="227"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Week 52 data for SLK showed consistent and further improvement in all clinical scores, compared to Week 16 data. Across both VELA-1 and VELA-2, 67.2% of patients treated with SLK achieved Hidradenitis Suppurativa Clinical Response (“HiSCR”) 75 and 33.1% of patients achieved HiSCR100 at Week 52 (n=396). The results were consistent across both trials (VELA-1: 68.3% HiSCR75, 31.2% HiSCR100; VELA-2: 66.0% HiSCR75, 35.1% HiSCR100). At Week 52, 26.0% of patients (n=396) achieved an International Hidradenitis Suppurativa Severity Score System (“IHS4”)-100 response (VELA-1: 24.4%, VELA-2: 27.7%), reflecting inflammatory remission, defined as a 100% reduction in abscesses (A100), nodules (N100) and draining tunnels (DT100). The long-term results of the VELA program are higher than in previous Phase 3 HS programs with competing agents (using the same pooled, as observed, end of parental trial data analysis). Relative to the competitor IL-17-A &amp; F inhibitor monoclonal antibody, the SLK Nanobody®, for example, showed responses with over ~10% more responding patients for HiSCR75, HiSCR100 or IHS4-100.</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60" w:top="1022" w:right="499" w:bottom="1440" w:gutter="0" w:footer="0" w:header="0"/>
        </w:sectPr>
      </w:pPr>
    </w:p>
    <w:bookmarkStart w:id="4" w:name="page5"/>
    <w:bookmarkEnd w:id="4"/>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007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7007860"/>
                    </a:xfrm>
                    <a:prstGeom prst="rect">
                      <a:avLst/>
                    </a:prstGeom>
                    <a:noFill/>
                  </pic:spPr>
                </pic:pic>
              </a:graphicData>
            </a:graphic>
          </wp:anchor>
        </w:drawing>
        <w:t>The strong long-term clinical responses observed with SLK were accompanied by sustained improvements in Patient-Reported Outcomes, which are considered to matter most to patients living with HS and their treating physicians. Patients treated with SLK consistently showed the largest reductions in the HS-specific Quality of Life score (“HiSQOL”) at Week 52, with a -15.3 mean score difference between end of trial and baseline in VELA-1, and -14.8 in VELA-2 (as observed, n=395). The broader skin Dermatology Life Quality Index (“DLQI”) score confirmed the HiSQOL results and showed clinically meaningful response (≥4-point improvement from baseline) in 75.0% (VELA-1) and 69.4% (VELA-2) of patients (as observed, in patients with baseline DLQI ≥4, n=363). Responses for both these quality of life metrics were higher than previously demonstrated in competitor pivotal HS studies. In line with these data, 46.5% of patients experienced a marked reduction in pain, measured as at least a 3-point reduction from baseline in the worst skin pain Numerical Rating Scale (VELA-1: 48.4%, VELA-2: 44.3%; as observed, in patients with baseline worst skin pain score of ≥3, n=241).</w:t>
      </w:r>
    </w:p>
    <w:p>
      <w:pPr>
        <w:spacing w:after="0" w:line="18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These findings demonstrate leading and durable improvements across outcomes of key relevance for patients, including quality of life, pain and long-term disease control.</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Responses seen in patients crossing over from placebo (switch to SLK at Week 16) confirm and validate these findings. After 4 Weeks of SLK treatment, HiSCR75 rates increased by ~20 percentage points across both studies. At the end of the VELA program (i.e., after 36 weeks of SLK treatment), cross-over patients (“Placebo-to-SLK”) showed HiSCR75 rates similar to those observed after 36 weeks of treatment in the “SLK-to-SLK” arms (~60%, as observed).</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high acceptance rate and good tolerability of SLK across the VELA program was confirmed by the rate of patients rolling over into the VELA-OLE (two-year open-label extension) following the parental trials (~90% across all arms) further validating the convenience of the 120mg Q4W (once every four weeks) dosing regimen.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Week 24 data from the Phase 3 VELA-TEEN trial</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Furthermore, data from the VELA TEEN clinical trial showed rapid onset and high response rates in adolescent patients with HS. Interim analysis of Week 24 data show that ~68% of patients treated with SLK achieved HiSCR75, alongside ~86% achieving HiSCR50 and ~45% achieving HiSCR100 (as observed, n=22). HiSCR75 rates in VELA-TEEN were higher than those observed in the adult VELA program at comparable timepoints, indicating a pronounced clinical response in adolescent patients with earlier stage disease. SLK was generally well tolerated in this vulnerable patient population, and no new safety signals were observed. These promising results highlight the relevance and opportunity of an early treatment of HS with the goal to slow down the progression to irreversible tissue damage.</w:t>
      </w:r>
    </w:p>
    <w:p>
      <w:pPr>
        <w:spacing w:after="0" w:line="187"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safety profile of SLK in the VELA clinical programs including VELA-TEEN remains consistent over time, with no new safety signals detected.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We were originally incorporated on August 13, 2020 in the Cayman Islands as a special purpose acquisition company under the name Helix Acquisition Corp., and our subsidiary, MoonLake Immunotherapeutics AG, a Swiss stock corporation (Aktiengesellschaft) registered with the commercial register of the Canton of Zug, Switzerland under the number CHE-433.093.536 (“MoonLake AG”), was incorporated in Switzerland in 2021. On April 5, 2022, MoonLake Immunotherapeutics (formerly known as Helix Acquisition Corp.) consummated the business combination pursuant to that certain Business Combination Agreement dated October 4, 2021 (the “Business Combination Agreement”), by and among Helix Acquisition Corp., MoonLake AG, the existing equityholders of MoonLake AG set forth on the signature pages to the Business Combination Agreement and equityholders of MoonLake AG that executed joinders to the Business Combination Agreement (collectively, the “ML Parties”), Helix Holdings LLC, a Cayman Islands limited liability company and the sponsor of Helix Acquisition Corp. (the “Sponsor”), and the representative of the ML Parties (such transactions contemplated by the Business Combination Agreement, collectively, the “Business Combination”). In connection with the consummation of the Business Combination, we changed our name from Helix Acquisition Corp. to MoonLake Immunotherapeutics. Our principal executive office is located in Dorfstrasse 29, 6300, Zug, Switzerland. Our website address is www.moonlaketx.com. Information contained on or accessible through our website is not a part of this prospectus. We have included our website in this prospectus supplement solely as an inactive textual reference.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026" w:right="4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105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8105140"/>
                    </a:xfrm>
                    <a:prstGeom prst="rect">
                      <a:avLst/>
                    </a:prstGeom>
                    <a:noFill/>
                  </pic:spPr>
                </pic:pic>
              </a:graphicData>
            </a:graphic>
          </wp:anchor>
        </w:drawing>
        <w:t>THE OFFERING</w:t>
      </w:r>
    </w:p>
    <w:p>
      <w:pPr>
        <w:sectPr>
          <w:pgSz w:w="11900" w:h="16838" w:orient="portrait"/>
          <w:cols w:equalWidth="0" w:num="1">
            <w:col w:w="10960"/>
          </w:cols>
          <w:pgMar w:left="460" w:top="1022" w:right="479" w:bottom="1440" w:gutter="0" w:footer="0" w:header="0"/>
        </w:sectPr>
      </w:pPr>
    </w:p>
    <w:p>
      <w:pPr>
        <w:spacing w:after="0" w:line="229" w:lineRule="exact"/>
        <w:rPr>
          <w:sz w:val="20"/>
          <w:szCs w:val="20"/>
          <w:color w:val="auto"/>
        </w:rPr>
      </w:pPr>
    </w:p>
    <w:p>
      <w:pPr>
        <w:ind w:left="320" w:hanging="323"/>
        <w:spacing w:after="0" w:line="282" w:lineRule="auto"/>
        <w:rPr>
          <w:sz w:val="20"/>
          <w:szCs w:val="20"/>
          <w:color w:val="auto"/>
        </w:rPr>
      </w:pPr>
      <w:r>
        <w:rPr>
          <w:rFonts w:ascii="Times New Roman" w:cs="Times New Roman" w:eastAsia="Times New Roman" w:hAnsi="Times New Roman"/>
          <w:sz w:val="18"/>
          <w:szCs w:val="18"/>
          <w:color w:val="auto"/>
        </w:rPr>
        <w:t>Class A Ordinary Shares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9,000,000 Class A Ordinary Shares.</w:t>
      </w:r>
    </w:p>
    <w:p>
      <w:pPr>
        <w:spacing w:after="0" w:line="441" w:lineRule="exact"/>
        <w:rPr>
          <w:sz w:val="20"/>
          <w:szCs w:val="20"/>
          <w:color w:val="auto"/>
        </w:rPr>
      </w:pPr>
    </w:p>
    <w:p>
      <w:pPr>
        <w:sectPr>
          <w:pgSz w:w="11900" w:h="16838" w:orient="portrait"/>
          <w:cols w:equalWidth="0" w:num="2">
            <w:col w:w="2560" w:space="180"/>
            <w:col w:w="8220"/>
          </w:cols>
          <w:pgMar w:left="460" w:top="1022"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Pre-funded warrants offered by us</w:t>
      </w:r>
    </w:p>
    <w:p>
      <w:pPr>
        <w:spacing w:after="0" w:line="20" w:lineRule="exact"/>
        <w:rPr>
          <w:sz w:val="20"/>
          <w:szCs w:val="20"/>
          <w:color w:val="auto"/>
        </w:rPr>
      </w:pPr>
      <w:r>
        <w:rPr>
          <w:sz w:val="20"/>
          <w:szCs w:val="20"/>
          <w:color w:val="auto"/>
        </w:rPr>
        <w:br w:type="column"/>
      </w: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also offering, in lieu of Class A Ordinary Shares to certain investors that so choose, pre-funded warrants to purchase up to 1,000,000 Class A Ordinary Shares. The purchase price of each pre-funded warrant equals the price per share at which our Class A Ordinary Shares are being sold to the public in this offering, minus $0.0001, which is the exercise price of each pre-funded warrant per share. Each pre-funded warrant will be exercisable at any time after the date of issuance of such pre-funded warrant, subject to an ownership limitation. See “Description of Securities We Are Offering” on page S-18 of this prospectus supplement. This prospectus supplement also relates to the offering of the Class A Ordinary Shares issuable upon exercise of the pre-funded warrants.</w:t>
      </w:r>
    </w:p>
    <w:p>
      <w:pPr>
        <w:spacing w:after="0" w:line="192" w:lineRule="exact"/>
        <w:rPr>
          <w:sz w:val="20"/>
          <w:szCs w:val="20"/>
          <w:color w:val="auto"/>
        </w:rPr>
      </w:pPr>
    </w:p>
    <w:p>
      <w:pPr>
        <w:sectPr>
          <w:pgSz w:w="11900" w:h="16838" w:orient="portrait"/>
          <w:cols w:equalWidth="0" w:num="2">
            <w:col w:w="2440" w:space="300"/>
            <w:col w:w="8220"/>
          </w:cols>
          <w:pgMar w:left="460" w:top="1022"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Option to purchase additional Class AThe underwriters have a 30-day option to purchase up to 1,500,000 additional Class A Ordinary Shares from us at</w:t>
      </w:r>
    </w:p>
    <w:p>
      <w:pPr>
        <w:spacing w:after="0" w:line="27" w:lineRule="exact"/>
        <w:rPr>
          <w:sz w:val="20"/>
          <w:szCs w:val="20"/>
          <w:color w:val="auto"/>
        </w:rPr>
      </w:pPr>
    </w:p>
    <w:p>
      <w:pPr>
        <w:ind w:left="320"/>
        <w:spacing w:after="0"/>
        <w:tabs>
          <w:tab w:leader="none" w:pos="2720" w:val="left"/>
        </w:tabs>
        <w:rPr>
          <w:sz w:val="20"/>
          <w:szCs w:val="20"/>
          <w:color w:val="auto"/>
        </w:rPr>
      </w:pPr>
      <w:r>
        <w:rPr>
          <w:rFonts w:ascii="Times New Roman" w:cs="Times New Roman" w:eastAsia="Times New Roman" w:hAnsi="Times New Roman"/>
          <w:sz w:val="18"/>
          <w:szCs w:val="18"/>
          <w:color w:val="auto"/>
        </w:rPr>
        <w:t>Ordinary Shares</w:t>
      </w:r>
      <w:r>
        <w:rPr>
          <w:sz w:val="20"/>
          <w:szCs w:val="20"/>
          <w:color w:val="auto"/>
        </w:rPr>
        <w:tab/>
      </w:r>
      <w:r>
        <w:rPr>
          <w:rFonts w:ascii="Times New Roman" w:cs="Times New Roman" w:eastAsia="Times New Roman" w:hAnsi="Times New Roman"/>
          <w:sz w:val="17"/>
          <w:szCs w:val="17"/>
          <w:color w:val="auto"/>
        </w:rPr>
        <w:t>the public offering price less the underwriting discounts and commissions.</w:t>
      </w:r>
    </w:p>
    <w:p>
      <w:pPr>
        <w:sectPr>
          <w:pgSz w:w="11900" w:h="16838" w:orient="portrait"/>
          <w:cols w:equalWidth="0" w:num="1">
            <w:col w:w="10960"/>
          </w:cols>
          <w:pgMar w:left="460" w:top="1022" w:right="479" w:bottom="1440" w:gutter="0" w:footer="0" w:header="0"/>
          <w:type w:val="continuous"/>
        </w:sectPr>
      </w:pPr>
    </w:p>
    <w:p>
      <w:pPr>
        <w:spacing w:after="0" w:line="207" w:lineRule="exact"/>
        <w:rPr>
          <w:sz w:val="20"/>
          <w:szCs w:val="20"/>
          <w:color w:val="auto"/>
        </w:rPr>
      </w:pPr>
    </w:p>
    <w:p>
      <w:pPr>
        <w:ind w:left="320" w:hanging="323"/>
        <w:spacing w:after="0" w:line="312" w:lineRule="auto"/>
        <w:rPr>
          <w:sz w:val="20"/>
          <w:szCs w:val="20"/>
          <w:color w:val="auto"/>
        </w:rPr>
      </w:pPr>
      <w:r>
        <w:rPr>
          <w:rFonts w:ascii="Times New Roman" w:cs="Times New Roman" w:eastAsia="Times New Roman" w:hAnsi="Times New Roman"/>
          <w:sz w:val="17"/>
          <w:szCs w:val="17"/>
          <w:color w:val="auto"/>
        </w:rPr>
        <w:t>Class A Ordinary Shares to be outstanding after this offering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81,134,066 shares (or 82,634,066 shares if the underwriters exercise in full their option to purchase additional Class A Ordinary Shares), excluding Class A Ordinary Shares issuable upon exercise of the pre-funded warrants.</w:t>
      </w:r>
    </w:p>
    <w:p>
      <w:pPr>
        <w:spacing w:after="0" w:line="140" w:lineRule="exact"/>
        <w:rPr>
          <w:sz w:val="20"/>
          <w:szCs w:val="20"/>
          <w:color w:val="auto"/>
        </w:rPr>
      </w:pPr>
    </w:p>
    <w:p>
      <w:pPr>
        <w:sectPr>
          <w:pgSz w:w="11900" w:h="16838" w:orient="portrait"/>
          <w:cols w:equalWidth="0" w:num="2">
            <w:col w:w="2460" w:space="280"/>
            <w:col w:w="8220"/>
          </w:cols>
          <w:pgMar w:left="460" w:top="1022"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 equivalents and marketable securities, to fund the research, development, pre-commercialization activities and commercialization activities of SLK, if approved, and for general corporate purposes. See “Use of Proceeds” on page S-10 of this prospectus supplement.</w:t>
      </w:r>
    </w:p>
    <w:p>
      <w:pPr>
        <w:spacing w:after="0" w:line="180" w:lineRule="exact"/>
        <w:rPr>
          <w:sz w:val="20"/>
          <w:szCs w:val="20"/>
          <w:color w:val="auto"/>
        </w:rPr>
      </w:pPr>
    </w:p>
    <w:p>
      <w:pPr>
        <w:sectPr>
          <w:pgSz w:w="11900" w:h="16838" w:orient="portrait"/>
          <w:cols w:equalWidth="0" w:num="2">
            <w:col w:w="2020" w:space="720"/>
            <w:col w:w="8220"/>
          </w:cols>
          <w:pgMar w:left="460" w:top="1022"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Times New Roman" w:cs="Times New Roman" w:eastAsia="Times New Roman" w:hAnsi="Times New Roman"/>
          <w:sz w:val="18"/>
          <w:szCs w:val="18"/>
          <w:color w:val="auto"/>
        </w:rPr>
        <w:t>Investing in our Class A Ordinary Shares and pre-funded warrants involves a high degree of risk. See the information contained in or incorporated by reference under the heading “Risk Factors” on page S-4 of this prospectus supplement, in the accompanying prospectus and in the documents incorporated by reference into this prospectus supplement.</w:t>
      </w:r>
    </w:p>
    <w:p>
      <w:pPr>
        <w:spacing w:after="0" w:line="180" w:lineRule="exact"/>
        <w:rPr>
          <w:sz w:val="20"/>
          <w:szCs w:val="20"/>
          <w:color w:val="auto"/>
        </w:rPr>
      </w:pPr>
    </w:p>
    <w:p>
      <w:pPr>
        <w:sectPr>
          <w:pgSz w:w="11900" w:h="16838" w:orient="portrait"/>
          <w:cols w:equalWidth="0" w:num="2">
            <w:col w:w="2020" w:space="720"/>
            <w:col w:w="8220"/>
          </w:cols>
          <w:pgMar w:left="460" w:top="1022"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Nasdaq Capital Market symbol</w:t>
      </w:r>
    </w:p>
    <w:p>
      <w:pPr>
        <w:spacing w:after="0" w:line="20" w:lineRule="exact"/>
        <w:rPr>
          <w:sz w:val="20"/>
          <w:szCs w:val="20"/>
          <w:color w:val="auto"/>
        </w:rPr>
      </w:pPr>
      <w:r>
        <w:rPr>
          <w:sz w:val="20"/>
          <w:szCs w:val="20"/>
          <w:color w:val="auto"/>
        </w:rPr>
        <w:br w:type="column"/>
      </w:r>
    </w:p>
    <w:p>
      <w:pPr>
        <w:ind w:right="200"/>
        <w:spacing w:after="0" w:line="282" w:lineRule="auto"/>
        <w:rPr>
          <w:sz w:val="20"/>
          <w:szCs w:val="20"/>
          <w:color w:val="auto"/>
        </w:rPr>
      </w:pPr>
      <w:r>
        <w:rPr>
          <w:rFonts w:ascii="Times New Roman" w:cs="Times New Roman" w:eastAsia="Times New Roman" w:hAnsi="Times New Roman"/>
          <w:sz w:val="18"/>
          <w:szCs w:val="18"/>
          <w:color w:val="auto"/>
        </w:rPr>
        <w:t>“MLTX.” We do not intend to apply for listing of the pre-funded warrants on the Nasdaq Capital Market or any securities exchange or nationally recognized trading system.</w:t>
      </w:r>
    </w:p>
    <w:p>
      <w:pPr>
        <w:spacing w:after="0" w:line="162" w:lineRule="exact"/>
        <w:rPr>
          <w:sz w:val="20"/>
          <w:szCs w:val="20"/>
          <w:color w:val="auto"/>
        </w:rPr>
      </w:pPr>
    </w:p>
    <w:p>
      <w:pPr>
        <w:sectPr>
          <w:pgSz w:w="11900" w:h="16838" w:orient="portrait"/>
          <w:cols w:equalWidth="0" w:num="2">
            <w:col w:w="2240" w:space="500"/>
            <w:col w:w="8220"/>
          </w:cols>
          <w:pgMar w:left="460" w:top="1022" w:right="479" w:bottom="1440" w:gutter="0" w:footer="0" w:header="0"/>
          <w:type w:val="continuous"/>
        </w:sect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number of Class A Ordinary Shares that will be outstanding after this offering is based on 72,134,066 Class A Ordinary Shares outstanding as of March 31, 2026 and excludes:</w:t>
      </w:r>
    </w:p>
    <w:p>
      <w:pPr>
        <w:spacing w:after="0" w:line="162" w:lineRule="exact"/>
        <w:rPr>
          <w:sz w:val="20"/>
          <w:szCs w:val="20"/>
          <w:color w:val="auto"/>
        </w:rPr>
      </w:pPr>
    </w:p>
    <w:p>
      <w:pPr>
        <w:jc w:val="both"/>
        <w:ind w:left="640" w:right="260" w:hanging="324"/>
        <w:spacing w:after="0" w:line="312" w:lineRule="auto"/>
        <w:tabs>
          <w:tab w:leader="none" w:pos="6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2,524,668 Class A Ordinary Shares subject to stock options granted under the Amended and Restated MoonLake Immunotherapeutics 2022 Equity Incentive Plan (as so amended, the “Incentive Plan”) at a weighted-average exercise price of $14.80 per share as of March 31, 2026;</w:t>
      </w:r>
    </w:p>
    <w:p>
      <w:pPr>
        <w:spacing w:after="0" w:line="139" w:lineRule="exact"/>
        <w:rPr>
          <w:rFonts w:ascii="Times New Roman" w:cs="Times New Roman" w:eastAsia="Times New Roman" w:hAnsi="Times New Roman"/>
          <w:sz w:val="17"/>
          <w:szCs w:val="17"/>
          <w:color w:val="auto"/>
        </w:rPr>
      </w:pPr>
    </w:p>
    <w:p>
      <w:pPr>
        <w:ind w:left="640" w:hanging="32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1,044,534 Class A Ordinary Shares reserved for future equity award grants under the Incentive Plan as of March 31, 2026;</w:t>
      </w:r>
    </w:p>
    <w:p>
      <w:pPr>
        <w:spacing w:after="0" w:line="225" w:lineRule="exact"/>
        <w:rPr>
          <w:rFonts w:ascii="Times New Roman" w:cs="Times New Roman" w:eastAsia="Times New Roman" w:hAnsi="Times New Roman"/>
          <w:sz w:val="18"/>
          <w:szCs w:val="18"/>
          <w:color w:val="auto"/>
        </w:rPr>
      </w:pPr>
    </w:p>
    <w:p>
      <w:pPr>
        <w:jc w:val="both"/>
        <w:ind w:left="640" w:right="300" w:hanging="324"/>
        <w:spacing w:after="0" w:line="312" w:lineRule="auto"/>
        <w:tabs>
          <w:tab w:leader="none" w:pos="6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5,000,000 additional Class A Ordinary Shares reserved for future equity award grants under the Incentive Plan, which was approved by the Company’s shareholders at the 2026 Annual General Meeting of Shareholders (the “Annual Meeting”) held subsequent to March 31, 2026;</w:t>
      </w:r>
    </w:p>
    <w:p>
      <w:pPr>
        <w:spacing w:after="0" w:line="139" w:lineRule="exact"/>
        <w:rPr>
          <w:rFonts w:ascii="Times New Roman" w:cs="Times New Roman" w:eastAsia="Times New Roman" w:hAnsi="Times New Roman"/>
          <w:sz w:val="17"/>
          <w:szCs w:val="17"/>
          <w:color w:val="auto"/>
        </w:rPr>
      </w:pPr>
    </w:p>
    <w:p>
      <w:pPr>
        <w:ind w:left="640" w:right="140" w:hanging="324"/>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2,427,619 Class A Ordinary Shares issued under our sales agreement with Leerink Partners LLC (“Leerink Partners”), dated as of August 31, 2023 (the “Sales Agreement”), subsequent to March 31, 2026; and</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up to $219.5 million of Class A Ordinary Shares remaining for future sales under the Sales Agreement.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Except as otherwise indicated, the information in this prospectus supplement does not assume or give effect to:</w:t>
      </w:r>
    </w:p>
    <w:p>
      <w:pPr>
        <w:spacing w:after="0" w:line="225" w:lineRule="exact"/>
        <w:rPr>
          <w:sz w:val="20"/>
          <w:szCs w:val="20"/>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options outstanding as of March 31, 2026;</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the pre-funded warrants offered and sold in this offering; or</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by the underwriters of their option to purchase up to 1,500,000 additional Class A Ordinary Shares from us in this offering.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022" w:right="47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making an investment decision, you should carefully consider the risks and other information we include or incorporate by reference in this prospectus supplement and the accompanying prospectus, and in any free writing prospectus that we have authorized for use in connection with this offering. In particular, you should consider the risk factors described under the heading “Risk Factors” in our most recent Annual Report on Form 10-K, as may be revised or supplemented by our subsequent Quarterly Reports on Form 10-Q or Current Reports on Form 8-K, each of which are on file with the SEC and are incorporated herein by reference, and which may be amended, supplemented or superseded from time to time by other reports we file with the SEC in the future. In addition to those risk factors, there may be additional risks and uncertainties which are not currently known to us or that we currently deem immaterial. Our business, financial condition or results of operations could be materially adversely affected by any of these risks. The occurrence of any of these risks might cause you to lose all or part of your investment in the offered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require substantial additional capital to finance our operations, which may not be available to us on acceptable terms, or at all. As a result, we may be forced to delay, limit or terminate the development and, if approved, commercialization of SLK, development of new product candidates or other operations.</w:t>
      </w:r>
    </w:p>
    <w:p>
      <w:pPr>
        <w:spacing w:after="0" w:line="17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As a clinical-stage biopharmaceutical company, our operations have consumed significant amounts of cash since our inception. We expect our operating expenses to increase in connection with our ongoing activities, particularly as we expect to transition to a commercializing biopharmaceutical company with a first potential launch of SLK in 2027, if approved.</w:t>
      </w:r>
    </w:p>
    <w:p>
      <w:pPr>
        <w:spacing w:after="0" w:line="176"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expect the proceeds from this offering, together with our existing cash, cash equivalents and marketable securities, to be sufficient to fund our operations and capital expenditures to mid-2028, including expenses associated with pre-commercialization activities and commercialization activities for an anticipated commercial launch of SLK in the United States in HS in 2027, if approved. Clinical development involves a lengthy and expensive process with uncertain outcomes and is subject to risks described under the heading “Risk Factors” in our most recent Annual Report on Form 10-K and Quarterly Report on Form 10-Q for the quarter ended March 31, 2026, including that our preclinical studies or clinical trials may not be conducted as planned or completed on schedule and may not satisfy the requirements of the U.S. Food and Drug Administration (“FDA”), European Medicines Agency (“EMA”), or other comparable foreign regulatory authorities. If we are required to conduct additional preclinical studies or clinical trials of SLK beyond those that we currently contemplate, if we are delayed or unable to successfully complete clinical trials of SLK or other testing, or if the results of these trials or tests are not positive or are only modestly positive or if there are safety concerns, we may require additional funding. Moreover, we will require additional capital to commercialize SLK and to discover, develop, obtain regulatory approval and commercialize any future product candidates, as applicable. We do not have any committed external source of funds other than a loan and security agreement, dated March 31, 2025, as amended on February 20, 2026, by and among the Company, MoonLake AG, the lenders party thereto and Hercules Capital, Inc. and any sales that we may make pursuant to the Sales Agreement for our “at-the-market” offering facility and this offering. We expect to finance future cash needs through public or private equity, additional debt or product collaborations. Additional capital may not be available in sufficient amounts or on reasonable terms, if at all. The current market environment for small biotechnology companies, like us, and broader macroeconomic factors, including recent and potential future disruptions in access to bank deposits or lending commitments due to bank failures, may preclude us from successfully raising additional capital.</w:t>
      </w:r>
    </w:p>
    <w:p>
      <w:pPr>
        <w:spacing w:after="0" w:line="19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we do not raise additional capital, we may not be able to expand our operations or otherwise capitalize on our business opportunities, our business and financial condition will be negatively impacted and we may need to: significantly delay, scale back or discontinue research and discovery efforts and the development or commercialization of SLK or any other product candidates or cease operations altogether; seek strategic alliances for research and development programs when we otherwise would not, or at an earlier stage than we would otherwise desire or on terms less favorable than might otherwise be available; or relinquish, or license on unfavorable terms, our rights to technologies or SLK or any other product candidates that we otherwise would seek to develop or commercialize ourselves</w:t>
      </w:r>
      <w:r>
        <w:rPr>
          <w:rFonts w:ascii="Times New Roman" w:cs="Times New Roman" w:eastAsia="Times New Roman" w:hAnsi="Times New Roman"/>
          <w:sz w:val="18"/>
          <w:szCs w:val="18"/>
          <w:b w:val="1"/>
          <w:bCs w:val="1"/>
          <w:i w:val="1"/>
          <w:iCs w:val="1"/>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Class A Ordinary Shares in this offering, you will suffer immediate and substantial dilution in the book value per Class A Ordinary Share purchased in the offering.</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public offering price per share in this offering may exceed the net tangible book value per share of our Class A Ordinary Shares outstanding prior to this offering, in which case you may incur an immediate and substantial dilution in the net tangible book value of Class A Ordinary Shares you purchase in this offering or the Class A Ordinary Shares underlying the pre-funded warrants you purchase in this offering. After giving effect to the sale by us of Class A Ordinary Shares (or pre-funded warrants in lieu thereof) at the public offering price of $20.00 per Class A Ordinary Share (or pre-funded warrant in lieu thereof), assuming no exercise of the pre-funded warrants and excluding any resulting accounting associated with the pre-funded warrants, after deducting underwriting discounts and commissions and estimated offering expenses payable by us, you will experience immediate dilution of $14.54 per share, representing the difference between the public offering price per share and our as adjusted net tangible book value per share as of March 31, 2026 after giving effect to this offering. The exercise of warrants, including the pre-funded warrants issued in this offering, the exercise of outstanding stock options may result in further dilution of your investment. See “Dilution” on page S-11 of this prospectus supplement for a more detailed discussion of the dilution you will incur in connection with this offering.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issuances.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order to raise additional capital, we may at any time offer additional shares of our Class A Ordinary Shares or other securities convertible into or exchangeable for our Class A Ordinary Shares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Class A Ordinary Shares, or securities convertible or exchangeable into Class A Ordinary Shares, in future transactions may be higher or lower than the price per share paid by investors in this offering. In addition, as of March 31, 2026, there were (a) 2,524,668 Class A Ordinary Shares subject to stock options granted under the Incentive Plan at a weighted-average exercise price of $14.80 per share, (b) 1,044,534 Class A Ordinary Shares reserved for future equity award grants under the Incentive Plan, and (c) as of the date hereof, up to $219.5 million of Class A Ordinary Shares remaining for future sales under our Sales Agreement. Subsequent to March 31, 2026, (a) our shareholders approved an increase in the number of Class A Ordinary Shares available for stock-based awards under the Incentive Plan by 5,000,000 shares at the Annual Meeting, and (b) we sold 2,427,619 Class A Ordinary Shares pursuant to our Sales Agreement. To the extent shares have been issued or are issued under outstanding options at exercise prices lower than the price of our Class A Ordinary Shares or the Class A Ordinary Shares underlying the pre-funded warrants in this offering, you will incur further dilution.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these pre-funded warrants on any securities exchange or nationally recognized trading system, including the Nasdaq Capital Market. Without an active market, the liquidity of these pre-funded warrants will be limited.</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holders of Class A Ordinary Shares until such holders exercise their pre-funded warrants and acquire our Class A Ordinary Shares.</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Until holders of the pre-funded warrants acquire Class A Ordinary Shares upon exercise of such pre-funded warrants, the holders will have no rights with respect to the Class A Ordinary Shares underlying such pre-funded warrants, such as voting rights or the rights to receive dividends. Upon exercise of the pre-funded warrants, the holders will be entitled to exercise the rights of a shareholder only as to matters for which the record date occurs after the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significant additional funds or may not receive any additional funds upon the exercise of the pre-funded warrants being offered.</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certain limited circumstances, each pre-funded warrant may be exercised by way of a cashless exercise, meaning that the holder may not pay a cash purchase price upon exercise, but instead would receive upon such exercise the net number of Class A Ordinary Shares determined according to the formula set forth in the pre-funded warrant. Accordingly, we may not receive any additional funds upon the cashless exercise of the pre-funded warrants or if the pre-funded warrants altogether are not exercised at all. In addition, the pre-funded warrants have an exercise price of $0.0001 per Class A Ordinary Share, and as a result we will not receive significant additional funds upon their exercise even if not a cashless exercise.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Class A Ordinary Shares may not be permitted to exercise pre-funded warrants that they hold.</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Holders of the pre-funded warrants will not be entitled to exercise any portion of any pre-funded warrant which, upon giving effect to such exercise, would cause the aggregate number of Class A Ordinary Shares beneficially owned by the holder (together with its affiliates) to exceed 4.99% (or 9.99%) of the number of Class A Ordinary Shares outstanding immediately after giving effect to the exercise, as such percentage ownership is determined in accordance with the terms of the pre-funded warrants. Such percentage may be increased or decreased by the holder of the pre-funded warrants to any other percentage not in excess of 19.99% upon at least 61 days’ prior notice from the holder to us. As a result, you may not be able to exercise your pre-funded warrants for our Class A Ordinary Shares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8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Class A Ordinary Shares in the public markets, including any Class A Ordinary Shares issuable upon exercise of any pre-funded warrants, or the perception that such sales could occur, could depress the market price of our Class A Ordinary Shares and our ability to raise funds in future offerings.</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Class A Ordinary Shares in the public markets, including sales of any Class A Ordinary Shares issuable upon exercise of any pre-funded warrants issued in this offering, or the perception that such sales could occur, could depress the market price of our Class A Ordinary Shares and impair our ability to raise capital through the sale of additional equity securities. We cannot predict the effect that future sales of our Class A Ordinary Shares would have on the market price of our Class A Ordinary Shares.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Future issuances of our Class A Ordinary Shares or our other equity or debt securities could further depress the market for our Class A Ordinary Shares. We expect to continue to incur significant expenses and increasing operating losses as we advance SLK and any future product candidates through clinical trials, seek regulatory approval for SLK and any future product candidates, expand our clinical, regulatory, quality, manufacturing and commercialization capabilities, protect our intellectual property, prepare for and, if approved, proceed to commercialization of SLK and any future product candidates, expand our general and administrative support functions, including hiring additional personnel, and general and administrative costs associated with our operations, and to satisfy our funding requirements, we may need to sell additional securities. The proceeds of this offering will not be sufficient to fund the Company beyond funding our operations and capital expenditures to mid-2028, including expenses associated with pre-commercialization and commercialization activities for an anticipated commercial launch of SLK in the United States in HS in 2027, if approved, and we may need to sell additional securities to continue operating. The sale or the proposed sale of substantial amounts of our Class A Ordinary Shares, including the shares issuable upon exercise of any pre-funded warrants, or our other securities may adversely affect the market price of our Class A Ordinary Shares and our stock price may decline substantially. Our shareholders may experience substantial dilution and a reduction in the price that they are able to obtain upon sale of their shares. New securities issued may have greater rights, preferences or privileges than our existing Class A Ordinary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Class A Ordinary Shares in the public could cause our stock price to fall.</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If our existing shareholders, particularly our directors, executive officers and their respective affiliates, sell, or indicate an intention to sell, substantial amounts of our Class A Ordinary Shares in the public market after the lock-up period discussed in this prospectus supplement lapses, the market price of our Class A Ordinary Shares could decline. Our directors, executive officers and certain of their respective affiliates have entered into lock-up agreements with the underwriters in connection with this offering pursuant to which they have agreed with the underwriters not to offer, sell, dispose of or hedge any Class A Ordinary Shares or securities convertible into or exchangeable for Class A Ordinary Shares, subject to specified limited exceptions and extensions described elsewhere in this prospectus supplement, for a period of 45 days after the date of this prospectus supplement without the prior written consent of Leerink Partners. Other than any shares held by our directors, executive officers and certain of their respective affiliates subject to lock-up agreements with the underwriters, all of the outstanding Class A Ordinary Shares are currently freely tradable, and the shares to be sold in this offering and shares issuable upon exercise of any pre-funded warrants will be freely tradable, without restriction, in the public market following this offering. Leerink Partners may, in its sole discretion, permit our executive officers, directors and certain of their respective affiliates who are subject to these lock-up agreements to sell shares prior to the expiration of the lock-up agreements. Sales of a substantial number of shares upon expiration of the lock-up agreements, the perception that such sales may occur, or early release of these agreements, could cause our market price to fall or make it more difficult for you to sell your Class A Ordinary Shares at a time and price that you deem appropriate.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including the net proceeds we receive in this offering, and may not use them effectively.</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management has broad discretion to use our cash and cash equivalents, including the net proceeds we receive in this offering, to fund our operations and could spend these funds in ways that do not improve our results of operations or enhance the value of our Class A Ordinary Shares, and you will not have the opportunity as part of your investment decision to assess whether the net proceeds are being used appropriately. The failure by our management to apply these funds effectively could result in financial losses that could have a material adverse effect on our business, cause the price of our Class A Ordinary Shares to decline and delay the development of our product candidates. You will not have the opportunity to influence our decisions on how to use our cash and cash equivalents, including the net proceeds from this offering. Pending their use to fund our operations, we may invest our cash and cash equivalents, including the net proceeds from this offering, in a manner that does not produce income or that loses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or “PFIC,” which could result in adverse U.S. federal income tax consequences to U.S. investors.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(or portion thereof) that is included in the holding period of a U.S. Holder (as defined in the section of this prospectus supplement captioned “U.S. Federal Income Tax Considerations”) of our Class A Ordinary Shares, the U.S. Holder may be subject to adverse U.S. federal income tax consequences and may be subject to additional reporting requirements.</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w:t>
      </w:r>
    </w:p>
    <w:p>
      <w:pPr>
        <w:ind w:right="20" w:firstLine="8"/>
        <w:spacing w:after="0" w:line="253"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 Cash generally is a passive asset for this purpose. Goodwill is an active asset under the PFIC rules to the extent attributable to activities that produce or are held for the production of active income.</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our case, our activities currently do not produce active income, and there can be no assurance that our activities will produce active income in the future. It is not entirely clear how the asset and income tests should apply to a company like us that has substantial operating losses and that currently generates only passive income. Without taking into account the value of our goodwill, more than 50% of our assets by value is passive, which would generally mean that we would be a PFIC. The goodwill of the Company (the value of which is based on the Company’s market capitalization) may be attributable to activities that will generate active income in the future and thus may be treated as an active asset, but, taking into account the significant decrease in the price of our Class A Ordinary Shares in 2025, we do not have goodwill for purposes of the asset test for a portion of the current taxable year and may not have goodwill for future taxable years. Additionally, because we hold, and expect to continue to hold, substantial amounts of cash (including cash from this offering), there is a significant risk that we will be or become a PFIC under the asset test due to our decreased market capitalization and the volatility of the price of our Class A Ordinary Shares. Moreover, as mentioned above, we may also qualify as a PFIC under the income test, since we have substantial operating losses and generate passive income.</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Additionally, even if we are not a PFIC for a particular taxable year, we could become a PFIC for future years based on changes in our assets or the value thereof, including the fluctuations in value of our goodwill as indicated by our market capitalization, and based on changes in our activities and income, particularly given the fact that it is not entirely clear how the asset and income tests should apply to our Company if we continue to incur operating losses and generate passive income in the future. Based upon our current and projected operations and the significant decrease in the value of our goodwill as indicated by our market capitalization, and since a company’s annual PFIC status can be determined only after the end of each taxable year, we cannot express a view as to whether we will be a PFIC for the current or any future taxable year.</w:t>
      </w:r>
    </w:p>
    <w:p>
      <w:pPr>
        <w:spacing w:after="0" w:line="18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Therefore, U.S. investors should invest in our Class A Ordinary Shares only if they are willing to bear the U.S. federal income tax consequences of an investment in a PFIC.</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urge U.S. investors to consult their tax advisors regarding the possible application of the PFIC rules. For a more detailed explanation of the tax consequences of PFIC classification to U.S. Holders, see the section of this prospectus supplement captioned “U.S. Federal Income Tax Considerations— Passive Foreign Investment Company Rules.”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for purposes of federal securities laws. We intend such forward-looking statements to be covered by the safe harbor provisions for forward-looking statements contained in Section 27A of the Securities Act of 1933, as amended (the “Securities Act”), and Section 21E of the Exchange Act of 1934, as amended (the “Exchange Act”). All statements other than statements of historical fact contained in this prospectus supplement and the accompanying prospectus, including without limitation, statements regarding the following, are forward-looking statements: our future results of operations and financial position, our expectations regarding industry trends, the sufficiency of our cash and cash equivalents, anticipated sources and uses of cash, the anticipated investments in our business, our business strategy, expectations regarding our clinical programs and the plans and objectives of management for future operations and capital expenditures.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“might,” “possible,” or “continue” or the negative of these terms or other similar expressions. The forward-looking statements in this prospectus supplement and the accompanying prospectus are only predictions. We have based these forward-looking statements largely on our current expectations and projections about future events and financial trends that we believe may affect our business, financial condition and results of operations. Some of the information contained in this discussion and analysis or set forth elsewhere in this prospectus supplement and the accompanying prospectus contain forward-looking statements that reflect our plans and strategy for our business and related financing. Our actual results and the timing of events could differ materially from those anticipated in the forward-looking statements.</w:t>
      </w:r>
    </w:p>
    <w:p>
      <w:pPr>
        <w:spacing w:after="0" w:line="19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important risks, uncertainties and other factors that could cause actual results to differ materially from those in the forward-looking statements expressed or implied in this prospectus supplement and the accompanying prospectus. Such risks, uncertainties and other factors include, among others, the risks, uncertainties and factors set forth in “Risk Factors,” and the following risks, uncertainties and factors:</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our existing cash and the net proceeds from this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completion of this offering;</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impacts of raising additional capital, including dilution to our existing shareholders, restrictions on our operations or requirements that we relinquish rights to our technologies or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and</w:t>
      </w:r>
    </w:p>
    <w:p>
      <w:pPr>
        <w:spacing w:after="0" w:line="225" w:lineRule="exact"/>
        <w:rPr>
          <w:rFonts w:ascii="Times New Roman" w:cs="Times New Roman" w:eastAsia="Times New Roman" w:hAnsi="Times New Roman"/>
          <w:sz w:val="18"/>
          <w:szCs w:val="18"/>
          <w:color w:val="auto"/>
        </w:rPr>
      </w:pPr>
    </w:p>
    <w:p>
      <w:pPr>
        <w:ind w:left="660" w:right="3380" w:hanging="328"/>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 but not limited to: o we are substantially dependent on the success of SLK, which we license from MHKDG;</w:t>
      </w:r>
    </w:p>
    <w:p>
      <w:pPr>
        <w:spacing w:after="0" w:line="1" w:lineRule="exact"/>
        <w:rPr>
          <w:rFonts w:ascii="Times New Roman" w:cs="Times New Roman" w:eastAsia="Times New Roman" w:hAnsi="Times New Roman"/>
          <w:sz w:val="18"/>
          <w:szCs w:val="18"/>
          <w:color w:val="auto"/>
        </w:rPr>
      </w:pPr>
    </w:p>
    <w:p>
      <w:pPr>
        <w:ind w:left="660" w:right="11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our ability to obtain regulatory approval for our products, and any related restrictions or limitations of any approved products; o competition and competitive pressures from other global companies in the industries in which we operate;</w:t>
      </w:r>
    </w:p>
    <w:p>
      <w:pPr>
        <w:spacing w:after="0" w:line="1" w:lineRule="exact"/>
        <w:rPr>
          <w:rFonts w:ascii="Times New Roman" w:cs="Times New Roman" w:eastAsia="Times New Roman" w:hAnsi="Times New Roman"/>
          <w:sz w:val="18"/>
          <w:szCs w:val="18"/>
          <w:color w:val="auto"/>
        </w:rPr>
      </w:pPr>
    </w:p>
    <w:p>
      <w:pPr>
        <w:ind w:left="980"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we have incurred significant losses since inception, and we expect to incur significant losses for the foreseeable future and may not be able to achieve or sustain profitability in the future;</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our ability to manage our growth effectively;</w:t>
      </w:r>
    </w:p>
    <w:p>
      <w:pPr>
        <w:spacing w:after="0" w:line="225" w:lineRule="exact"/>
        <w:rPr>
          <w:rFonts w:ascii="Times New Roman" w:cs="Times New Roman" w:eastAsia="Times New Roman" w:hAnsi="Times New Roman"/>
          <w:sz w:val="18"/>
          <w:szCs w:val="18"/>
          <w:color w:val="auto"/>
        </w:rPr>
      </w:pPr>
    </w:p>
    <w:p>
      <w:pPr>
        <w:ind w:left="980" w:right="24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impact of adverse business and economic conditions including inflationary pressures, general economic slowdown or a recession, fluctuating interest rates, new or increased tariffs and other barriers to trade, changes in fiscal and monetary policy or government budget dynamics, the prospect of a shutdown of the U.S. federal government, conflicts in the Middle East, and significant volatility in commodity prices, including the price of oil and the responses thereto;</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1" w:name="page12"/>
    <w:bookmarkEnd w:id="11"/>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have initiated and completed clinical trials, we have no products approved for commercial sale;</w:t>
      </w:r>
    </w:p>
    <w:p>
      <w:pPr>
        <w:spacing w:after="0" w:line="225" w:lineRule="exact"/>
        <w:rPr>
          <w:rFonts w:ascii="Times New Roman" w:cs="Times New Roman" w:eastAsia="Times New Roman" w:hAnsi="Times New Roman"/>
          <w:sz w:val="18"/>
          <w:szCs w:val="18"/>
          <w:color w:val="auto"/>
        </w:rPr>
      </w:pPr>
    </w:p>
    <w:p>
      <w:pPr>
        <w:jc w:val="both"/>
        <w:ind w:left="980" w:right="280" w:hanging="324"/>
        <w:spacing w:after="0" w:line="312" w:lineRule="auto"/>
        <w:tabs>
          <w:tab w:leader="none" w:pos="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require substantial additional capital to finance our operations, and if we are unable to raise such capital when needed or on acceptable terms, we may be forced to delay, reduce, and/or eliminate one or more of our development programs or future commercialization efforts;</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existing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general economic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litigation following periods of volatility in the marketplace or our share price;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adequately protect our intellectual property rights.</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factors described under the heading “Risk Factors” in this prospectus supplement and the risk factors and cautionary statements described in other documents that we file from time to time with the SEC, specifically under the heading “Risk Factors” and elsewhere in our most recent Annual Report on Form 10-K and Quarterly Report on Form 10-Q for the quarter ended March 31, 2026, as may be updated by subsequent annual, quarterly and other reports that are incorporated by reference into this prospectus. You should evaluate all forward-looking statements made in this prospectus, including the documents we incorporate by reference, in the context of these risks, uncertainties and other factors.</w:t>
      </w:r>
    </w:p>
    <w:p>
      <w:pPr>
        <w:spacing w:after="0" w:line="18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are made as of the date hereof and we undertake no obligation to publicly update or review any forward-looking statement, whether as a result of new information, future developments or otherwise.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 w:name="page13"/>
    <w:bookmarkEnd w:id="1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our issuance and sale of our Class A Ordinary Shares and pre-funded warrants in this offering will be approximately $188.8 million (or, approximately $217.1 million if the underwriters’ option to purchase additional shares is exercised in full), after deducting the underwriting discounts and commissions and the estimated offering expenses payable by us. These estimates exclude the proceeds, if any, from the exercise of the pre-funded warrants sold in this offering.</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 equivalents and marketable securities, to fund the research, development, pre-commercialization activities and commercialization activities of SLK, if approved, and for general corporate purposes.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expect the proceeds from this offering, together with existing cash, cash equivalents and marketable securities, to be sufficient to fund our operations and capital expenditures to mid-2028, including expenses associated with pre-commercialization activities and commercialization activities for an anticipated commercial launch of SLK in the United States in HS in 2027, if approved. Clinical development involves a lengthy and expensive process with uncertain outcomes and is subject to risks described under the heading “Risk Factors” in our most recent Annual Report on Form 10-K and Quarterly Report on Form 10-Q for the quarter ended March 31, 2026, including that our preclinical studies or clinical trials may not be conducted as planned or completed on schedule and may not satisfy the requirements of the FDA, EMA, or other comparable foreign regulatory authorities. If we are required to conduct additional preclinical studies or clinical trials of SLK beyond those that we currently contemplate, if we are delayed or unable to successfully complete clinical trials of SLK or other testing, or if the results of these trials or tests are not positive or are only modestly positive or if there are safety concerns, we may require additional funding. Moreover, we will require additional capital to commercialize SLK and to discover, develop, obtain regulatory approval and commercialize any future product candidates, as applicable.</w:t>
      </w:r>
    </w:p>
    <w:p>
      <w:pPr>
        <w:spacing w:after="0" w:line="19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supplement, we cannot specify with certainty all of the particular uses of the proceeds, if any, from this offering. Accordingly, we will retain broad discretion over the use of any such proceeds. Pending the use of the net proceeds from this offering as described above, we intend to invest the net proceeds in investment-grade, interest-bearing instruments.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you purchase Class A Ordinary Shares or pre-funded warrants in this offering, your ownership interest will be diluted to the extent of the difference between the purchase price per share (or pre-funded warrant in lieu thereof) and the as adjusted net tangible book value per share after giving effect to this offering. We calculate net tangible book value per share by dividing the net tangible book value, which is total tangible assets less total liabilities, by the number of Class A Ordinary Shares. Dilution represents the difference between the portion of the amount per share (or pre-funded warrant in lieu thereof) paid by purchasers of Class A Ordinary Shares in this offering and the as adjusted net tangible book value per share of Class A Ordinary Share immediately after giving effect to this offering. Our net tangible book value as of March 31, 2026, was approximately $254.0 million, or $3.52 per share.</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After giving effect to the issuance and sale of 9,000,000 Class A Ordinary Shares at the public offering price of $20.00 per Class A Ordinary Share and pre-funded warrants to purchase up to 1,000,000 Class A Ordinary Shares in this offering at the public offering price of $19.9999 per pre-funded warrant (which equals the public offering price per Class A Ordinary Share less the $0.0001 per Class A Ordinary Share exercise price of each such pre-funded warrant) (and excluding the Class A Ordinary Shares issued upon exercise of the pre-funded warrants or any resulting accounting associated with the pre-funded warrants), and after deducting commissions and estimated aggregate offering expenses payable by us, our as adjusted net tangible book value as of March 31, 2026, would have been $442.8 million, or $5.46 per Class A Ordinary Share. This represents an immediate increase in the as adjusted net tangible book value of $1.94 per share to our existing shareholders and an immediate dilution of $14.54 per share to new investors purchasing shares in this offering. The following table illustrates this per share dilution to new investors purchasing Class A Ordinary Shares (or pre-funded warrants in lieu thereof) in this offering, assuming the underwriters do not exercise their option to purchase additional Class A Ordinary Shares and the holders of the pre-funded warrants offered hereby do not exercise the pre-funded warrants: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 (or pre-funded warrant in lieu thereof at the public offering price less $0.0001)</w:t>
            </w:r>
          </w:p>
        </w:tc>
        <w:tc>
          <w:tcPr>
            <w:tcW w:w="4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in this offering</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March 31, 2026, after giving effect to this offering</w:t>
            </w:r>
          </w:p>
        </w:tc>
        <w:tc>
          <w:tcPr>
            <w:tcW w:w="440" w:type="dxa"/>
            <w:vAlign w:val="bottom"/>
            <w:tcBorders>
              <w:top w:val="single" w:sz="8" w:color="auto"/>
              <w:bottom w:val="single" w:sz="8" w:color="CCEEFF"/>
            </w:tcBorders>
          </w:tcPr>
          <w:p>
            <w:pPr>
              <w:spacing w:after="0"/>
              <w:rPr>
                <w:sz w:val="19"/>
                <w:szCs w:val="19"/>
                <w:color w:val="auto"/>
              </w:rPr>
            </w:pPr>
          </w:p>
        </w:tc>
        <w:tc>
          <w:tcPr>
            <w:tcW w:w="6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CCEEFF"/>
              <w:bottom w:val="single" w:sz="8" w:color="CCEEFF"/>
            </w:tcBorders>
          </w:tcPr>
          <w:p>
            <w:pPr>
              <w:spacing w:after="0"/>
              <w:rPr>
                <w:sz w:val="19"/>
                <w:szCs w:val="19"/>
                <w:color w:val="auto"/>
              </w:rPr>
            </w:pPr>
          </w:p>
        </w:tc>
        <w:tc>
          <w:tcPr>
            <w:tcW w:w="400" w:type="dxa"/>
            <w:vAlign w:val="bottom"/>
            <w:tcBorders>
              <w:top w:val="single" w:sz="8" w:color="CCEEFF"/>
              <w:bottom w:val="single" w:sz="8" w:color="auto"/>
            </w:tcBorders>
          </w:tcPr>
          <w:p>
            <w:pPr>
              <w:spacing w:after="0"/>
              <w:rPr>
                <w:sz w:val="19"/>
                <w:szCs w:val="19"/>
                <w:color w:val="auto"/>
              </w:rPr>
            </w:pPr>
          </w:p>
        </w:tc>
        <w:tc>
          <w:tcPr>
            <w:tcW w:w="7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top w:val="single" w:sz="8" w:color="CCEEFF"/>
              <w:bottom w:val="single" w:sz="8" w:color="CCEEFF"/>
            </w:tcBorders>
          </w:tcPr>
          <w:p>
            <w:pPr>
              <w:spacing w:after="0"/>
              <w:rPr>
                <w:sz w:val="19"/>
                <w:szCs w:val="19"/>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4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14.54</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If the underwriters exercise their option in full to purchase an additional 1,500,000 Class A Ordinary Shares, and assuming the holders of the pre-funded warrants offered hereby do not exercise the pre-funded warrants, our as adjusted net tangible book value per share after this offering would be approximately $5.70 per share, representing an increase in as adjusted net tangible book value of $2.18 per share to our existing shareholders and an immediate dilution of approximately $14.30 per share to new investors participating in this offering.</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holders of the pre-funded warrants exercise the pre-funded warrants in full, our as adjusted net tangible book value per Class A Ordinary Share after giving effect to this offering (but not the exercise of the underwriters’ option to purchase additional Class A Ordinary Shares) would have been $5.39 per Class A Ordinary Share representing an increase in as adjusted net tangible book value of $1.87 per share to our existing shareholders, and the dilution in as adjusted net tangible book value per Class A Ordinary Share to new investors participating in this offering would have been $14.61 per Class A Ordinary Share.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Class A Ordinary Shares that will be outstanding after this offering is based on 72,134,066 Class A Ordinary Shares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excludes:</w:t>
      </w:r>
    </w:p>
    <w:p>
      <w:pPr>
        <w:spacing w:after="0" w:line="207" w:lineRule="exact"/>
        <w:rPr>
          <w:sz w:val="20"/>
          <w:szCs w:val="20"/>
          <w:color w:val="auto"/>
        </w:rPr>
      </w:pPr>
    </w:p>
    <w:p>
      <w:pPr>
        <w:ind w:left="660" w:right="2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2,524,668 Class A Ordinary Shares subject to stock options granted under the Incentive Plan at a weighted-average exercise price of $14.80 per share as of March 31,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1,044,534 Class A Ordinary Shares reserved for future equity award grants under the Incentive Plan as of March 31, 2026;</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additional Class A Ordinary Shares reserved for future equity award grants under the Incentive Plan, which was approved by the Company’s shareholders at the Annual Meeting held subsequent to March 31,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2,427,619 Class A Ordinary Shares issued under the Sales Agreement subsequent to March 31, 2026;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up to $219.5 million of Class A Ordinary Shares remaining for future sales under the Sales Agreement.</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Further, the number of Class A Ordinary Shares to be outstanding after this offering does not take into account the 1,000,000 Class A Ordinary Shares issuable upon the exercise of the pre-funded warrants.</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To the extent shares have been issued or are issued under these outstanding options at exercise prices lower than the price of our Class A Ordinary Shares in this offering, you will incur further dilution. In addition, we may choose to raise additional capital, including pursuant to the Sales Agreement,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certain U.S. federal income tax consequences of the ownership and disposition of Class A Ordinary Shares and pre-funded warrants. This discussion is limited to certain U.S. federal income tax considerations to beneficial owners who are U.S. Holders (as defined below) of Class A Ordinary Shares or pre-funded warrants who purchase Class A Ordinary Shares or pre-funded warrants pursuant to this offering and hold Class A Ordinary Shares as capital assets within the meaning of Section 1221 of the U.S. Internal Revenue Code of 1986, as amended (the “Code”). This discussion assumes that any distributions made by us on the Class A Ordinary Shares and pre-funded warrants and any consideration received by a holder in consideration for the sale or other disposition of Class A Ordinary Shares and pre-funded warrants will be in U.S. dollars.</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to our initial shareholders, the ML Parties, the Sponsor, or our founders,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citizens and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(directly, indirectly or by attribution) five percent or more (by vote or value) of our shares (including the pre-funded warrants);</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Class A Ordinary Shares or pre-funded warrants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the Class A Ordinary Shares or pre-funded warrants;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Class A Ordinary Shares or pre-funded warrants as part of a “straddle,” constructive sale, hedge, wash sale, conversion or other integrated or similar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or other pass-through entities for U.S. federal income tax purposes and any beneficial owners of such partnerships or pass-through entities;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an entity or arrangement classified as a partnership or other pass-through entity for U.S. federal income tax purposes holds Class A Ordinary Shares or pre-funded warrants,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an entity or arrangement classified as a partnership or other pass-through entity for U.S. federal income tax purposes that holds, or a partner, member or other beneficial owner of a partnership holding Class A Ordinary Shares or pre-funded warrants, you are urged to consult your tax advisor regarding the tax consequences of the ownership and disposition of Class A Ordinary Shares or pre-funded warrants.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5" w:name="page16"/>
    <w:bookmarkEnd w:id="15"/>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non-U.S. jurisdiction.</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OWNERSHIP AND DISPOSITION OF CLASS A ORDINARY SHARES AND PRE-FUNDED WARRANTS ACQUIRED PURSUANT TO THIS OFFERING. EACH PROSPECTIVE INVESTOR IN CLASS A ORDINARY SHARES OR PRE-FUNDED WARRANTS IS URGED TO CONSULT ITS TAX ADVISOR WITH RESPECT TO THE PARTICULAR TAX CONSEQUENCES TO SUCH INVESTOR OF THE OWNERSHIP AND DISPOSITION OF CLASS A ORDINARY SHARES OR PRE-FUNDED WARRANTS, INCLUDING THE APPLICABILITY AND EFFECT OF ANY U.S. FEDERAL NON-INCOME, STATE, LOCAL, AND NON-U.S. TAX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Class A Ordinary Shares or pre-funded warrants who or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organized in or under the laws of the United States, any state thereof or the District of Columbia;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Treatment of Pre-Funded Warrants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Although not entirely free from doubt, each pre-funded warrant generally is expected to be treated as one Class A Ordinary Share for U.S. federal income tax purposes, and a U.S. Holder of pre-funded warrants generally is expected to be taxed in the same manner as a U.S. Holder of Class A Ordinary Shares, as described below. Accordingly, no gain or loss is expected to be recognized upon the exercise of a pre-funded warrant, and the holding period of a pre-funded warrant is expected to carry over to the Class A Ordinary Share received. Similarly, the tax basis of a pre-funded warrant is expected to carry over to the Class A Ordinary Shares received upon exercise, increased by the exercise price of $0.0001 per Class A Ordinary Share. However, such characterization is not binding on the IRS, and the IRS may treat the pre-funded warrants as warrants to acquire Class A Ordinary Shares. If so, the amount and character of a U.S. Holder’s gain with respect to an investment in pre-funded warrants could change.</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Each U.S. Holder should consult their tax advisors regarding the risks associated with an investment in pre-funded warrants pursuant to this offering (including potential alternative characterizations). The remainder of this discussion generally assumes that the pre-funded warrants will be treated as identical to Class A Ordinary Shares and references to Class A Ordinary Shares in the remainder of this discussion also refer to pre-funded warrants unless stated otherwise.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w:t>
      </w:r>
    </w:p>
    <w:p>
      <w:pPr>
        <w:ind w:right="20" w:firstLine="8"/>
        <w:spacing w:after="0" w:line="253"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 Cash generally is a passive asset for this purpose. Goodwill is an active asset under the PFIC rules to the extent attributable to activities that produce or are held for the production of active income.</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our case, our activities currently do not produce active income and there can be no assurance that our activities will produce active income in the future. It is not entirely clear how the asset and income tests should apply to a company like us that has substantial operating losses and that currently generates only passive income. Without taking into account the value of our goodwill, more than 50% of our assets by value is passive, which would generally mean that we would be a PFIC. The goodwill of the Company (the value of which is based on the Company’s market capitalization) may be attributable to activities that will generate active income in the future and thus may be treated as an active asset, but taking into account the significant decrease in the price of our Class A Ordinary Shares in 2025, we do not have goodwill for purposes of the asset test for a portion of the current taxable year and may not have goodwill for future taxable years. Additionally, because we hold, and expect to continue to hold, substantial amounts of cash (including cash from this offering), there is a significant risk that we will be or become a PFIC under the asset test due to our decreased market capitalization and the volatility of the price of our Class A Ordinary Shares. Moreover, as mentioned above, we may also qualify as a PFIC under the income test, since we have substantial operating losses and generate passive income.</w:t>
      </w:r>
    </w:p>
    <w:p>
      <w:pPr>
        <w:spacing w:after="0" w:line="19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Additionally, even if we are not a PFIC for a particular taxable year, we could become a PFIC for future years based on changes in our assets or the value thereof, including the fluctuations in value of our goodwill as indicated by our market capitalization, and based on changes in our activities and income, particularly given the fact that it is not entirely clear how the asset and income tests should apply to our Company if we continue to incur operating losses and generate passive income in the future. For these reasons, and since a company’s annual PFIC status can be determined only after the end of each taxable year, we cannot express a view as to whether we will be a PFIC for the current or any future taxable year.</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Therefore, U.S. investors should invest in our Class A Ordinary Shares only if they are willing to bear the U.S. federal income tax consequences of an investment in a PFIC.</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Although our PFIC status is determined annually, a determination that our company is a PFIC generally will apply for subsequent years to a U.S. Holder who held Class A Ordinary Shares while we were a PFIC, whether or not we meet the test for PFIC status in those subsequent years. If we are determined to be a PFIC for any taxable year (or portion thereof) that is included in the holding period of a U.S. Holder of our Class A Ordinary Shares and the U.S. Holder did not make either a timely mark-to-market election or a qualified electing fund (“QEF”) election for our first taxable year as a PFIC in which the U.S. Holder held (or was deemed to hold) Class A Ordinary Shares, as described below, such U.S. Holder generally will be subject to special rules with respect to (i) any gain recognized by the U.S. Holder on the sale or other taxable disposition of its Class A Ordinary Shares (which may include gain realized by reason of transfers of Class A Ordinary Shares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the portion of such U.S. Holder’s holding period for the Class A Ordinary Shares that preceded the taxable year of the distribution) (together, the “excess distribution rules”).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color w:val="auto"/>
        </w:rPr>
        <w:t>Under these excess distribution rules: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Class A Ordinary Shares;</w:t>
      </w:r>
    </w:p>
    <w:p>
      <w:pPr>
        <w:spacing w:after="0" w:line="225" w:lineRule="exact"/>
        <w:rPr>
          <w:rFonts w:ascii="Times New Roman" w:cs="Times New Roman" w:eastAsia="Times New Roman" w:hAnsi="Times New Roman"/>
          <w:sz w:val="18"/>
          <w:szCs w:val="18"/>
          <w:color w:val="auto"/>
        </w:rPr>
      </w:pPr>
    </w:p>
    <w:p>
      <w:pPr>
        <w:jc w:val="both"/>
        <w:ind w:left="660" w:right="140" w:hanging="328"/>
        <w:spacing w:after="0" w:line="312"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39" w:lineRule="exact"/>
        <w:rPr>
          <w:rFonts w:ascii="Times New Roman" w:cs="Times New Roman" w:eastAsia="Times New Roman" w:hAnsi="Times New Roman"/>
          <w:sz w:val="17"/>
          <w:szCs w:val="17"/>
          <w:color w:val="auto"/>
        </w:rPr>
      </w:pPr>
    </w:p>
    <w:p>
      <w:pPr>
        <w:jc w:val="both"/>
        <w:ind w:left="660" w:right="1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amount equal to the interest charge generally applicable to underpayments of tax will be imposed on the U.S. Holder with respect to the tax attributable to each such other taxable year of the U.S. Holder.</w:t>
      </w:r>
    </w:p>
    <w:p>
      <w:pPr>
        <w:spacing w:after="0" w:line="16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Class A Ordinary Shares in us and for which we are determined to be a PFIC, such U.S. Holder generally will not be subject to the excess distribution rules described above with respect to its Class A Ordinary Shares. Instead, in general, the U.S. Holder will include as ordinary income in each taxable year the excess, if any, of the fair market value of its Class A Ordinary Shares at the end of its taxable year over its adjusted basis in its Class A Ordinary Shares. These amounts of ordinary income would not be eligible for the favorable tax rates applicable to qualified dividend income or long-term capital gains. The U.S. Holder also will recognize an ordinary loss in respect of the excess, if any, of its adjusted basis in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mark-to-market election is available only for stock that is regularly traded on a national securities exchange that is registered with the Securities and Exchange Commission, including Nasdaq (on which the Class A Ordinary Shares, but not the pre-funded warrants, are listed), or on a non-U.S.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Class A Ordinary Shares ceased to qualify as “marketable stock” for purposes of the PFIC rules or the IRS consented to the revocation of the election. Notwithstanding the fact that the pre-funded warrants generally are treated as identical to Class A Ordinary Shares for U.S. federal income tax purposes, because the pre-funded warrants will not be listed on Nasdaq it is not entirely clear whether the pre-funded warrants will be treated as “marketable stock” for purposes of the PFIC rules. U.S. Holders are urged to consult their tax advisors regarding the availability and tax consequences of a mark-to-market election in respect of our Class A Ordinary Shares and pre-funded warrants under their particular circumstances.</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we are a PFIC and, at any time, have a non-U.S. subsidiary that is classified as a PFIC (a “lower-tier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if the U.S. Holders otherwise were deemed to have disposed of an interest in the lower-tier PFIC.</w:t>
      </w:r>
    </w:p>
    <w:p>
      <w:pPr>
        <w:spacing w:after="0" w:line="18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 mark-to-market election generally would not be available with respect to such lower-tier PFIC. U.S. Holders are urged to consult their tax advisors regarding the tax issues raised by lower-tier PFICs.</w:t>
      </w:r>
    </w:p>
    <w:p>
      <w:pPr>
        <w:spacing w:after="0" w:line="16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U.S. Holders could also mitigate some of the adverse U.S. federal income tax consequences of the Company (and any non-U.S. subsidiary of the Company) being classified as a PFIC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 If a U.S. Holder makes a QEF election with respect to its Class A Ordinary Shares in a year after our first taxable year as a PFIC in which the U.S. Holder held (or was deemed to hold) Class A Ordinary Shares then, notwithstanding such QEF election, the excess distribution rules discussed above, adjusted to take into account the current income inclusions resulting from the QEF election, will continue to apply with respect to such U.S. Holder’s Class A Ordinary Shares.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we determine we are a PFIC for any taxable year, upon written request, we may provide to a U.S. Holder such information as the IRS may require, including a PFIC annual information statement, in order to enable the U.S. Holder to make and maintain a QEF election, but there can be no assurance that we will timely provide such required information.</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purging, and mark-to-market elections are very complex and are affected by various factors in addition to those described above. Accordingly, U.S. Holders of our Class A Ordinary Shares should consult their tax advisors concerning the application of the PFIC rules to our Class A Ordinary Shares under their particular circumstances.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above, a U.S. Holder generally will be required to include in gross income as dividends in the year actually or constructively received by the U.S. Holder the amount of any distribution of cash or other property (other than certain distributions of our shares or rights to acquire our shares) paid on our Class A Ordinary Shares to the extent the distribution is paid out of our current or accumulated earnings and profits (as determined under U.S. federal income tax principles). Distributions in excess of such earnings and profits generally will be applied against and reduce the U.S. Holder’s basis in its Class A Ordinary Shares (but not below zero) and, to the extent in excess of such basis, will be treated as gain from the sale or other taxable disposition of such Class A Ordinary Shares (the treatment of which is described under “— Gain or Loss on Sale, Taxable Exchange or Other Taxable Disposition of Class A Ordinary Shares” below). We may not maintain calculations of our earnings and profits under U.S. federal income tax principles, however, so U.S. Holders should assume that any distribution paid on our Class A Ordinary Shares may be reported as ordinary dividend income for U.S. federal income tax purposes.</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Dividends paid by us will be taxable to a corporate U.S. Holder at regular rates and will not be eligible for the dividends-received deduction generally allowed to domestic corporations in respect of dividends received from other domestic corporations. With respect to non-corporate U.S. Holders, dividends generally will be taxed at the lower applicable long-term capital gains rate (see “— Gain or Loss on Sale, Taxable Exchange or Other Taxable Disposition of Class A Ordinary Shares” below) only if our Class A Ordinary Shares are readily tradable on an established securities market in the United States, we are not a PFIC at the time the dividend was paid or in the previous year, and certain other requirements are met. U.S. Holders should consult their tax advisors regarding the availability of such lower rate for any dividends paid with respect to our Class A Ordinary Shares.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the Pre-Funded Warrants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shares of Class A Ordinary Shares that will be issued on the exercise of the pre-funded warrants, or an adjustment to the exercise price of the pre-funded warrants, may be treated as a constructive distribution to a U.S. Holder of the pre-funded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 Any such adjustment that is treated as a constructive distribution would be treated as a dividend to the extent described above under “</w:t>
      </w:r>
      <w:r>
        <w:rPr>
          <w:rFonts w:ascii="Times New Roman" w:cs="Times New Roman" w:eastAsia="Times New Roman" w:hAnsi="Times New Roman"/>
          <w:sz w:val="18"/>
          <w:szCs w:val="18"/>
          <w:i w:val="1"/>
          <w:iCs w:val="1"/>
          <w:color w:val="auto"/>
        </w:rPr>
        <w:t>Taxation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U.S. Holders should consult their tax advisor regarding the proper tax treatment of any such adjustment.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Ordinary Shares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Subject to the PFIC rules discussed above, a U.S. Holder generally will recognize capital gain or loss on the sale or other taxable disposition of our Class A Ordinary Shares. Any such capital gain or loss generally will be long-term capital gain or loss if the U.S. Holder’s holding period for such Class A Ordinary Shares exceeds one year. Long-term capital gain realized by a non-corporate U.S. Holder may be taxed at reduced rates of taxation. The deductibility of capital losses is subject to certain limitations.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amount of gain or loss recognized by a U.S. Holder on a sale or other taxable disposition generally will be equal to the difference between (i) the sum of the amount of cash and the fair market value of any property received in such disposition and (ii) the U.S. Holder’s adjusted tax basis in its Class A Ordinary Shares so disposed of. A U.S. Holder’s adjusted tax basis in its Class A Ordinary Shares generally will equal the U.S. Holder’s acquisition cost reduced by any prior distributions treated as a return of capital.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Lapse of Pre-Funded Warrants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If a U.S. Holder allows a pre-funded warrant to expire unexercised, such U.S. Holder will recognize a capital loss in an amount equal to such U.S. Holder’s tax basis in the pre-funded warrant. Any such loss generally will be a long-term capital loss if the pre-funded warrant is held for more than one year. The deductibility of capital losses is subject to certain limitations.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Dividend payments with respect to our Class A Ordinary Shares and proceeds from the sale, taxable exchange, or other taxable disposition of our Class A Ordinary Shares may be subject to information reporting to the IRS and possible U.S. backup withholding. Backup withholding will not apply, however, to a U.S. Holder who furnishes a correct taxpayer identification number and makes other required certifications, or who is otherwise exempt from backup withholding and establishes such exempt status.</w:t>
      </w:r>
    </w:p>
    <w:p>
      <w:pPr>
        <w:spacing w:after="0" w:line="18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timely furnishing any required information.</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Additionally, certain U.S. Holders are required to report information relating to Class A Ordinary Shares, subject to certain exceptions (including an exception for Class A Ordinary Shares held in accounts maintained by certain financial institutions), by attaching a complete IRS Form 8938, Statement of Specified Foreign Financial Assets, with their tax return for each year in which they hold Class A Ordinary Shares. You are urged to consult your tax advisors regarding information reporting requirements relating to your ownership of the Class A Ordinary Shares.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are offering our Class A Ordinary Shares in this offering. See “Description of Shares” in the accompanying prospectus for more information regarding our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attributes and characteristics of the pre-funded warrants. The form of pre-funded warrants will be provided to the pre-funded warrant purchasers in this offering and will be filed as an exhibit to a Current Report on Form 8-K in connection with this offering and incorporated by reference into the registration statement of which this prospectus supplement forms a part. The following summary is subject in all respects to the provisions contained in the pre-funded warrants. See “Description of Warrants” in the accompanying prospectus for more information regarding our pre-funded warrants.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Pre-funded warrants will be issued in certificated form only.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Each pre-funded warrant entitles the holder thereof to purchase Class A Ordinary Shares at an exercise price equal to $0.0001 per share. Each pre-funded warrant will be exercisable at any time beginning on the date of issuance. The number of Class A Ordinary Shares issuable upon exercise of each pre-funded warrant is subject to adjustment in the event of stock dividends, stock splits, reorganizations or similar events affecting our Class A Ordinary Shares and the exercise price.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holder of the pre-funded warrant may exercise the pre-funded warrant by delivering an exercise notice, completed and duly signed, and payment in cash of the exercise price for the number of Class A Ordinary Shares for which the pre-funded warrant is being exercised. The holder of the pre-funded warrant may also satisfy its obligation to pay the exercise price through a “cashless exercise,” in which the holder receives the net value of the pre-funded warrant in Class A Ordinary Shares determined according to the formula set forth in the pre-funded warrant.</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Upon a holder’s exercise of the pre-funded warrant, we will issue the Class A Ordinary Shares to which the holder is entitled pursuant to such exercise within three trading days after the exercise date.</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 holder of the pre-funded warrant will not be entitled to exercise any portion of such pre-funded warrant that, upon giving effect to such exercise, would cause the aggregate number of Class A Ordinary Shares beneficially owned by such holder (together with its affiliates and any other persons whose beneficial ownership of Class A Ordinary Shares would be aggregated with the holder for purposes of Section 13(d) of the Exchange Act) to exceed 9.99% (or 4.99% at the election of the holder) of the total number of then issued and outstanding Class A Ordinary Shares, as such percentage ownership is determined in accordance with the terms of the pre-funded warrant and subject to such holder’s rights under the pre-funded warrant to increase or decrease such percentage to any other percentage not in excess of 19.99% upon at least 61 days’ prior notice from such holder to us.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the event of any fundamental transaction, as described in the pre-funded warrants and generally including any merger with or into another entity, sale of all or substantially all of our assets, tender offer or exchange offer, or reclassification of our Class A Ordinary Shares, then upon any subsequent exercise of a pre-funded warrant, the holder will have the right to receive as alternative consideration, for each Class A Ordinary Share that would have been issuable upon such exercise immediately prior to the occurrence of such fundamental transaction, the number of Class A Ordinary Shares of the successor or acquiring corporation of our company, if it is the surviving corporation, and any additional consideration receivable upon or as a result of such transaction by a holder of the number of Class A Ordinary Shares for which the pre-funded warrant is exercisable immediately prior to such event.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Subject to applicable laws, a pre-funded warrant may be transferred at the option of the holder upon surrender of the pre-funded warrant to us together with the appropriate instruments of transfer and payment of funds sufficient to pay any transfer taxes (if applicable).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is no trading market available for the pre-funded warrants on any securities exchange or nationally recognized trading system. We do not intend to list the pre-funded warrants on the Nasdaq Capital Market or any securities exchange or nationally recognized trading system.</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initially serve as the warrant agent under the pre-funded warrants.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Rights as a Shareholder</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shares of our Class A Ordinary Shares, the holders of the pre-funded warrants do not have the rights or privileges of holders of our Class A Ordinary Shares, including any voting rights, until they exercise their pre-funded warrants.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Leerink Partners is acting as sole representative of each of the underwriters named below and as a joint bookrunning manager for this offering. Guggenheim Securities, LLC, Cantor Fitzgerald &amp; Co. and LifeSci Capital LLC are also acting as joint bookrunning managers for this offering. Subject to the terms and conditions set forth in the underwriting agreement by and between us and the underwriters, we have agreed to sell to the underwriters, and each of the underwriters has agreed, severally and not jointly, to purchase from us, the number of Class A Ordinary Shares and pre-funded warrants to purchase Class A Ordinary Shares set forth opposite its name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Pre-Funded</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3,750,000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416,667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166,667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166,667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166,667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41,666</w:t>
            </w:r>
          </w:p>
        </w:tc>
        <w:tc>
          <w:tcPr>
            <w:tcW w:w="0" w:type="dxa"/>
            <w:vAlign w:val="bottom"/>
          </w:tcPr>
          <w:p>
            <w:pPr>
              <w:spacing w:after="0"/>
              <w:rPr>
                <w:sz w:val="1"/>
                <w:szCs w:val="1"/>
                <w:color w:val="auto"/>
              </w:rPr>
            </w:pPr>
          </w:p>
        </w:tc>
      </w:tr>
      <w:tr>
        <w:trPr>
          <w:trHeight w:val="24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Clear Street LLC</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41,666</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8680" w:type="dxa"/>
            <w:vAlign w:val="bottom"/>
            <w:gridSpan w:val="2"/>
            <w:vMerge w:val="continue"/>
            <w:shd w:val="clear" w:color="auto" w:fill="CCEEFF"/>
          </w:tcPr>
          <w:p>
            <w:pPr>
              <w:spacing w:after="0"/>
              <w:rPr>
                <w:sz w:val="24"/>
                <w:szCs w:val="2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Class A Ordinary Shares and pre-funded warrants sold under the underwriting agreement if any of the Class A Ordinary Shares and pre-funded warrants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Class A Ordinary Shares and pre-funded warrants, subject to prior sale, when, as and if issued to and accepted by them, subject to approval of legal matters by their counsel, including the validity of the Class A Ordinary Shares and pre-funded warrants,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representative has advised us that the underwriters propose initially to offer the Class A Ordinary Shares and pre-funded warrants to the public at the public offering prices set forth on the cover page of this prospectus supplement and to dealers at that price less a concession not in excess of $0.66 per Class A Ordinary Share and $0.66 per Class A Ordinary Share underlying the pre-funded warrants. After the initial offering of the Class A Ordinary Shares and pre-funded warrants, the public offering price, concession or any other term of this offering may be changed by the representative.</w:t>
      </w:r>
    </w:p>
    <w:p>
      <w:pPr>
        <w:spacing w:after="0" w:line="180"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initial public offering price, underwriting discounts and commissions and proceeds, before expenses, to us. The information assumes either no exercise or full exercise by the underwriters of their option to purchase additional Class A Ordinary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Pre-Funded</w:t>
            </w:r>
          </w:p>
        </w:tc>
        <w:tc>
          <w:tcPr>
            <w:tcW w:w="200" w:type="dxa"/>
            <w:vAlign w:val="bottom"/>
          </w:tcPr>
          <w:p>
            <w:pPr>
              <w:spacing w:after="0"/>
              <w:rPr>
                <w:sz w:val="16"/>
                <w:szCs w:val="16"/>
                <w:color w:val="auto"/>
              </w:rPr>
            </w:pPr>
          </w:p>
        </w:tc>
        <w:tc>
          <w:tcPr>
            <w:tcW w:w="10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Without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With</w:t>
            </w:r>
          </w:p>
        </w:tc>
        <w:tc>
          <w:tcPr>
            <w:tcW w:w="100" w:type="dxa"/>
            <w:vAlign w:val="bottom"/>
          </w:tcPr>
          <w:p>
            <w:pPr>
              <w:spacing w:after="0"/>
              <w:rPr>
                <w:sz w:val="16"/>
                <w:szCs w:val="16"/>
                <w:color w:val="auto"/>
              </w:rPr>
            </w:pPr>
          </w:p>
        </w:tc>
      </w:tr>
      <w:tr>
        <w:trPr>
          <w:trHeight w:val="245"/>
        </w:trPr>
        <w:tc>
          <w:tcPr>
            <w:tcW w:w="5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20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199,999,900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11,000,000</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12,650,000</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18.8999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188,999,900</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217,349,900</w:t>
            </w:r>
          </w:p>
        </w:tc>
      </w:tr>
    </w:tbl>
    <w:p>
      <w:pPr>
        <w:spacing w:after="0" w:line="19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$200,000. The underwriters have also agreed to reimburse us for certain expenses in connection with the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1,500,000 additional Class A Ordinary Shares at the public offering price, less underwriting discounts and commissions. If the underwriters exercise this option, each underwriter will be obligated, subject to the conditions contained in the underwriting agreement, to purchase a number of additional Class A Ordinary Shares proportionate to that underwriters’ initial amount reflected in the above table.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our executive officers and directors and certain of our existing security holders have agreed, subject to specified exceptions (including sales pursuant to existing trading plans meeting the requirements of Rule 10b5-1 of the Exchange Act), not to sell or transfer any Class A Ordinary Shares or securities convertible into or exchangeable or exercisable for Class A Ordinary Shares, for 45 days after the date of this prospectus supplement without first obtaining the written consent of Leerink Partners on behalf of the underwriters. Specifically, we and these other persons have agreed, with certain limited exceptions, not to directly or indirectly:</w:t>
      </w:r>
    </w:p>
    <w:p>
      <w:pPr>
        <w:spacing w:after="0" w:line="18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dispose of or transfer any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a registration statement related to the Class A Ordinary Shares; or</w:t>
      </w:r>
    </w:p>
    <w:p>
      <w:pPr>
        <w:spacing w:after="0" w:line="225" w:lineRule="exact"/>
        <w:rPr>
          <w:rFonts w:ascii="Times New Roman" w:cs="Times New Roman" w:eastAsia="Times New Roman" w:hAnsi="Times New Roman"/>
          <w:sz w:val="18"/>
          <w:szCs w:val="18"/>
          <w:color w:val="auto"/>
        </w:rPr>
      </w:pPr>
    </w:p>
    <w:p>
      <w:pPr>
        <w:jc w:val="both"/>
        <w:ind w:left="660" w:right="40" w:hanging="328"/>
        <w:spacing w:after="0" w:line="312"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swap or other agreement or any transaction that transfers, in whole or in part, the economic consequence of ownership of any Class A Ordinary Shares, whether any such swap, agreement or transaction is to be settled by delivery of shares or other securities, in cash or otherwise.</w:t>
      </w:r>
    </w:p>
    <w:p>
      <w:pPr>
        <w:spacing w:after="0" w:line="14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lock-up provisions apply to Class A Ordinary Shares and to securities convertible into or exchangeable or exercisable for Class A Ordinary Shares. They also apply to Class A Ordinary Shares owned now or acquired later by the person executing the lock-up agreement or for which the person executing the lock-up agreement later acquires the power of disposition.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“MLTX.” We do not intend to list the pre-funded warrants on the Nasdaq Capital Market, any other nationally recognized securities exchange or any other nationally recognized trading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Until the distribution of the Class A Ordinary Shares and pre-funded warrants is completed, SEC rules may limit underwriters and selling group members from bidding for and purchasing our Class A Ordinary Shares. However, the representative may engage in transactions that stabilize the price of the Class A Ordinary Shares, such as bids or purchases to peg, fix or maintain that price.</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Class A Ordinary Shares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Class A Ordinary Shares in the open market after pricing that could adversely affect investors who purchase in this offering. Stabilizing transactions consist of various bids for or purchases of Class A Ordinary Shares made by the underwriters in the open market prior to the closing of this offering.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4" w:name="page25"/>
    <w:bookmarkEnd w:id="24"/>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Class A Ordinary Shares or preventing or retarding a decline in the market price of our Class A Ordinary Shares. As a result, the price of our Class A Ordinary Shares may be higher than the price that might otherwise exist in the open market. The underwriters may conduct these transactions on the Nasdaq Capital Market, in the over-the-counter market or otherwise.</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Class A Ordinary Shares. In addition, neither we nor any of the underwriters make any representation that the representative will engage in these transactions or that these transactions, once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180" w:lineRule="exact"/>
        <w:rPr>
          <w:sz w:val="20"/>
          <w:szCs w:val="20"/>
          <w:color w:val="auto"/>
        </w:rPr>
      </w:pPr>
    </w:p>
    <w:p>
      <w:pPr>
        <w:ind w:left="5460" w:right="3100" w:hanging="5128"/>
        <w:spacing w:after="0" w:line="783" w:lineRule="auto"/>
        <w:tabs>
          <w:tab w:leader="none" w:pos="6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 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 w:name="page26"/>
    <w:bookmarkEnd w:id="25"/>
    <w:p>
      <w:pPr>
        <w:ind w:left="660" w:right="4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 for any such offer;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right="3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require us or any of the representative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w:t>
      </w:r>
    </w:p>
    <w:p>
      <w:pPr>
        <w:spacing w:after="0" w:line="16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Class A Ordinary Shares and pre-funded warrants which has been approved by the Financial Conduct Authority, except that the securities may be offered to the public in the United Kingdom at any time: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22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securities shall require us or any representative to publish a prospectus pursuant to Section 85 of the FSMA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6" w:name="page27"/>
    <w:bookmarkEnd w:id="26"/>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left="660" w:right="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76" w:lineRule="exact"/>
        <w:rPr>
          <w:sz w:val="20"/>
          <w:szCs w:val="20"/>
          <w:color w:val="auto"/>
        </w:rPr>
      </w:pPr>
    </w:p>
    <w:p>
      <w:pPr>
        <w:ind w:left="660" w:right="1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Certain legal matters relating to U.S. law will be passed upon for us by Gibson, Dunn &amp; Crutcher LLP, San Francisco, California. Walkers (Cayman) LLP, Cayman Islands, will pass upon the validity of the Class A Ordinary Shares and pre-funded warrants offered hereby. The underwriters are being represented in connection with this offering by Mintz, Levin, Cohn, Ferris, Glovsky and Popeo, P.C., Boston, Massachusetts.</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MoonLake Immunotherapeutics in its Annual Report on Form 10-K for the year ended December 31, 2025, and the effectiveness of internal control over financial reporting incorporated by reference herein, have been audited by Baker Tilly US, LLP, an independent registered public accounting firm, as set forth in their report thereon incorporated by reference herein, in reliance upon such report and upon the authority of said firm as experts in accounting and auditing.</w:t>
      </w:r>
    </w:p>
    <w:p>
      <w:pPr>
        <w:spacing w:after="0" w:line="3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also filed a registration statement on Form S-3, including exhibits, under the Securities Act with respect to the securities offered by this prospectus supplement and the accompanying prospectus. This prospectus supplement and the accompanying prospectus are a part of that registration statement, but do not contain all of the information included in the registration statement or the exhibits.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You may access our annual reports on Form 10-K, quarterly reports on Form 10-Q, current reports on Form 8-K, proxy statements on Schedule 14A and amendments or supplements to those reports and statements, filed with the SEC, free of charge at our website at www.moonlaketx.com or by means of the SEC’s website at www.sec.gov. The information found on, or that can be accessed from or that is hyperlinked to, our website or the SEC’s website is not part of this prospectus supplement or the accompanying prospectus and you should not rely on that information when making a decision to invest in our Class A Ordinary Shares.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supplement and the accompanying prospectus, periodic and current reports, proxy statements and other information filed or furnished with the SEC concerning the contents of any contract, agreement or other document is only a summary of the actual contract, agreement or other document. If we have filed any contract, document, agreement or other document as an exhibit to such filing or furnishing, you should read the exhibit for a more complete understanding of the document or matter involved. Each statement regarding a contract, agreement or other document is qualified in its entirety by reference to the actual document.</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Upon written or oral request, we will provide without charge to each person to whom a copy of this prospectus supplement or the accompanying prospectus is delivered a copy of the documents incorporated by reference herein (other than exhibits to such documents unless such exhibits are specifically incorporated by reference herein). You may request a copy of these filings, at no cost, by writing, calling or emailing us at the contact information set forth below. We have authorized no one to provide you with any information that differs from that contained in this prospectus supplement and the accompanying prospectus. Accordingly, we take no responsibility for any other information that others may give you. You should not assume that the information in this prospectus supplement and the accompanying prospectus is accurate as of any date other than the date of the front cover of this prospectus supplement.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MoonLake Immunotherapeutics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Dorfstrasse 29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6300 Zug</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+41 415108022</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0" w:name="page31"/>
    <w:bookmarkEnd w:id="3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incorporates by reference important business and financial information about the Company that is not included in or delivered with this document. The information incorporated by reference is considered to be part of this prospectus supplement, and the SEC allows us to “incorporate by reference” the information we file with it, which means that we can disclose important information to you by referring you to those documents instead of having to repeat the information in this prospectus supplement. Any information referenced in this way is considered part of this prospectus supplement. Any subsequent information filed with the SEC will automatically be deemed to update and supersede the information in this prospectus supplement and in our other filings with the SEC. We incorporate by reference:</w:t>
      </w:r>
    </w:p>
    <w:p>
      <w:pPr>
        <w:spacing w:after="0" w:line="187" w:lineRule="exact"/>
        <w:rPr>
          <w:sz w:val="20"/>
          <w:szCs w:val="20"/>
          <w:color w:val="auto"/>
        </w:rPr>
      </w:pPr>
    </w:p>
    <w:p>
      <w:pPr>
        <w:ind w:left="660" w:right="2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filed with the SEC on February 25, 2026, including the Part III information incorporated by reference from our Definitive Proxy Statement on </w:t>
      </w:r>
      <w:hyperlink r:id="rId45">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21,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filed on May 11, 2026;</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7">
        <w:r>
          <w:rPr>
            <w:rFonts w:ascii="Times New Roman" w:cs="Times New Roman" w:eastAsia="Times New Roman" w:hAnsi="Times New Roman"/>
            <w:sz w:val="18"/>
            <w:szCs w:val="18"/>
            <w:u w:val="single" w:color="auto"/>
            <w:color w:val="0000EE"/>
          </w:rPr>
          <w:t>January 8, 2026</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February 23, 2026</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June 1, 2026</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June 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1">
        <w:r>
          <w:rPr>
            <w:rFonts w:ascii="Times New Roman" w:cs="Times New Roman" w:eastAsia="Times New Roman" w:hAnsi="Times New Roman"/>
            <w:sz w:val="18"/>
            <w:szCs w:val="18"/>
            <w:u w:val="single" w:color="auto"/>
            <w:color w:val="0000EE"/>
          </w:rPr>
          <w:t>June 22,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(Item 8.01 only);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w:t>
      </w:r>
      <w:hyperlink r:id="rId52">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5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as filed with the SEC on February 25, 2026, as may be further amended by any amendments or reports filed for the purposes of updating this description.</w:t>
      </w:r>
    </w:p>
    <w:p>
      <w:pPr>
        <w:spacing w:after="0" w:line="162" w:lineRule="exact"/>
        <w:rPr>
          <w:rFonts w:ascii="Times New Roman" w:cs="Times New Roman" w:eastAsia="Times New Roman" w:hAnsi="Times New Roman"/>
          <w:sz w:val="18"/>
          <w:szCs w:val="18"/>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foregoing, information furnished under Items 2.02 and 7.01 of any Current Report on Form 8-K, including the related exhibits under Item 9.01, is not incorporated by reference in this prospectus supplement.</w:t>
      </w:r>
    </w:p>
    <w:p>
      <w:pPr>
        <w:spacing w:after="0" w:line="162" w:lineRule="exact"/>
        <w:rPr>
          <w:rFonts w:ascii="Times New Roman" w:cs="Times New Roman" w:eastAsia="Times New Roman" w:hAnsi="Times New Roman"/>
          <w:sz w:val="18"/>
          <w:szCs w:val="18"/>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any further filings we make with the SEC under Sections 13(a), 13(c), 14 or 15(d) of the Exchange Act (other than portions deemed to have been “furnished” and not filed with the SEC, including those made pursuant to Item 2.02, Item 7.01 or Item 9.01 of Form 8-K or other information), including all filings filed after the date hereof and prior to the completion of the offering of all securities under this prospectus supplement.</w:t>
      </w:r>
    </w:p>
    <w:p>
      <w:pPr>
        <w:spacing w:after="0" w:line="396"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156845</wp:posOffset>
            </wp:positionV>
            <wp:extent cx="2117090" cy="565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1170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may issue, in one or more series or classes, up to an aggregate of $1,000,000,000 of our ordinary shares, preference shares, debt securities, warrants and/or units, at prices and on terms that we will determine at the time of the offering.</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We may not sell any securities under this prospectus without delivery of the applicable prospectus supplement. If information in any prospectus supplement is inconsistent with the information in this prospectus, then the information in that prospectus supplement will apply and will supersede the information in this prospectus.</w:t>
      </w:r>
    </w:p>
    <w:p>
      <w:pPr>
        <w:spacing w:after="0" w:line="187"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You should read this prospectus, the applicable prospectus supplement and any related free writing prospectus carefully, as well as any documents incorporated by reference, before you invest in any of the securities being offered.</w:t>
      </w:r>
    </w:p>
    <w:p>
      <w:pPr>
        <w:spacing w:after="0" w:line="162"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Class A ordinary shares, par value $0.0001 per share (“Class A Ordinary Shares”), are listed on The Nasdaq Capital Market under the symbol “MLTX.” The last reported sale price of our Class A Ordinary Shares on The Nasdaq Capital Market on August 28, 2023 was $53.53 per share. We recommend that you obtain current market quotations for our Class A Ordinary Shares prior to making an investment decision.</w:t>
      </w:r>
    </w:p>
    <w:p>
      <w:pPr>
        <w:spacing w:after="0" w:line="172"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contained in this prospectus beginning on page 2 and any applicable prospectus supplement, and under similar headings in the other documents that are incorporated by reference into this prospectus.</w:t>
      </w:r>
    </w:p>
    <w:p>
      <w:pPr>
        <w:spacing w:after="0" w:line="171"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Prospectus dated September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6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66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6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66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40" w:type="dxa"/>
            <w:vAlign w:val="bottom"/>
            <w:tcBorders>
              <w:bottom w:val="single" w:sz="8" w:color="CCEEFF"/>
            </w:tcBorders>
            <w:gridSpan w:val="7"/>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5"/>
        </w:trPr>
        <w:tc>
          <w:tcPr>
            <w:tcW w:w="8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2660" w:type="dxa"/>
            <w:vAlign w:val="bottom"/>
          </w:tcPr>
          <w:p>
            <w:pPr>
              <w:ind w:left="202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2660" w:type="dxa"/>
            <w:vAlign w:val="bottom"/>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2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300" w:type="dxa"/>
            <w:vAlign w:val="bottom"/>
            <w:tcBorders>
              <w:top w:val="single" w:sz="8" w:color="CCEEFF"/>
            </w:tcBorders>
            <w:gridSpan w:val="13"/>
          </w:tcPr>
          <w:p>
            <w:pPr>
              <w:spacing w:after="0"/>
              <w:rPr>
                <w:sz w:val="15"/>
                <w:szCs w:val="15"/>
                <w:color w:val="auto"/>
              </w:rPr>
            </w:pPr>
          </w:p>
        </w:tc>
        <w:tc>
          <w:tcPr>
            <w:tcW w:w="2660" w:type="dxa"/>
            <w:vAlign w:val="bottom"/>
            <w:tcBorders>
              <w:top w:val="single" w:sz="8" w:color="CCEEFF"/>
            </w:tcBorders>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6"/>
        </w:trPr>
        <w:tc>
          <w:tcPr>
            <w:tcW w:w="8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60" w:type="dxa"/>
            <w:vAlign w:val="bottom"/>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SECURITIES WE MAY OFFER</w:t>
            </w:r>
          </w:p>
        </w:tc>
        <w:tc>
          <w:tcPr>
            <w:tcW w:w="2660" w:type="dxa"/>
            <w:vAlign w:val="bottom"/>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6"/>
        </w:trPr>
        <w:tc>
          <w:tcPr>
            <w:tcW w:w="8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SHARES</w:t>
            </w:r>
          </w:p>
        </w:tc>
        <w:tc>
          <w:tcPr>
            <w:tcW w:w="2660" w:type="dxa"/>
            <w:vAlign w:val="bottom"/>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60" w:type="dxa"/>
            <w:vAlign w:val="bottom"/>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6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248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100" w:type="dxa"/>
            <w:vAlign w:val="bottom"/>
            <w:tcBorders>
              <w:top w:val="single" w:sz="8" w:color="CCEEFF"/>
            </w:tcBorders>
            <w:gridSpan w:val="5"/>
          </w:tcPr>
          <w:p>
            <w:pPr>
              <w:spacing w:after="0"/>
              <w:rPr>
                <w:sz w:val="15"/>
                <w:szCs w:val="15"/>
                <w:color w:val="auto"/>
              </w:rPr>
            </w:pPr>
          </w:p>
        </w:tc>
        <w:tc>
          <w:tcPr>
            <w:tcW w:w="2660" w:type="dxa"/>
            <w:vAlign w:val="bottom"/>
            <w:tcBorders>
              <w:top w:val="single" w:sz="8" w:color="CCEEFF"/>
            </w:tcBorders>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520" w:type="dxa"/>
            <w:vAlign w:val="bottom"/>
            <w:tcBorders>
              <w:bottom w:val="single" w:sz="8" w:color="CCEEFF"/>
            </w:tcBorders>
            <w:gridSpan w:val="9"/>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8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800" w:type="dxa"/>
            <w:vAlign w:val="bottom"/>
            <w:tcBorders>
              <w:bottom w:val="single" w:sz="8" w:color="CCEEFF"/>
            </w:tcBorders>
            <w:gridSpan w:val="15"/>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8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5"/>
        </w:trPr>
        <w:tc>
          <w:tcPr>
            <w:tcW w:w="8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66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(the “SEC” or the “Commission”) utilizing a “shelf” registration process. Under this shelf registration process, we may sell any combination of the securities described in this prospectus in one or more offerings up to a total dollar amount of $1,000,000,000. This prospectus provides you with a general description of the securities we may offer.</w:t>
      </w:r>
    </w:p>
    <w:p>
      <w:pPr>
        <w:spacing w:after="0" w:line="18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both this prospectus and any prospectus supplement together with additional information under the headings “Where You Can Find More Information” and “Incorporation by Reference.”</w:t>
      </w:r>
    </w:p>
    <w:p>
      <w:pPr>
        <w:spacing w:after="0" w:line="187"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or where otherwise indicated, references to “MoonLake,” “we,” “us,” “our,” “our Company,” “the Company” and “our business” refer to MoonLake Immunotherapeutics and its consolidated subsidiaries.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prospectus, including without limitation, statements regarding the following, are forward-looking statements: our future results of operations and financial position, our expectations regarding industry trends, the sufficiency of our cash and cash equivalents, anticipated sources and uses of cash, the anticipated investments in our business, our business strategy, and the plans and objectives of management for future operations and capital expenditures.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“might,” “possible,”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Some of the information contained in this discussion and analysis or set forth elsewhere in this prospectus contain forward-looking statements that reflect our plans and strategy for our business and related financing. Our actual results and the timing of events could differ materially from those anticipated in the forward-looking statements.</w:t>
      </w:r>
    </w:p>
    <w:p>
      <w:pPr>
        <w:spacing w:after="0" w:line="19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important risks, uncertainties and other factors that could cause actual results to differ materially from those in the forward-looking statements expressed or implied in this prospectus. Such risks, uncertainties and other factors include, among others, the risks, uncertainties and factors set forth in “Risk Factors,” and the following risks, uncertainties and factors:</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 but not limited to:</w:t>
      </w:r>
    </w:p>
    <w:p>
      <w:pPr>
        <w:spacing w:after="0" w:line="22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novel tri-specific Nanobody®, Sonelokimab, also known as M1095/ALX 0761, which we license from Merck Healthcare KGaA, Darmstadt, Germany, an affiliate of Merck KGaA, Darmstadt, Germany (“MHKDG”);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products, and any related restrictions or limitations of any approved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competitive pressures from other global companies in the industries in which we operate;</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we expect to incur significant losses for the foreseeable future and may not be able to achieve or sustain profitability in the future;</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5" w:name="page36"/>
    <w:bookmarkEnd w:id="35"/>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22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business and economic conditions including inflationary pressures, general economic slowdown or a recession, increasing interest rates, and changes in monetary policy, banking institution instability and the prospect of a shutdown of the U.S. federal government;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have initiated clinical trials, we have not completed any clinical trials, and we have no products approved for commercial sale;</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312" w:lineRule="auto"/>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require substantial additional capital to finance our operations, and if we are unable to raise such capital when needed or on acceptable terms, we may be forced to delay, reduce, and/or eliminate one or more of our development programs or future commercialization efforts;</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existing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general economic conditions;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the ability to adequately protect our intellectual property rights.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factors described under the heading “Risk Factors” in this prospectus and the risk factors and cautionary statements described in other documents that we file from time to time with the SEC, specifically under the heading “Risk Factors” and elsewhere in our most recent Annual Report on Form 10-K, as may be updated by subsequent annual, quarterly and other reports that are incorporated by reference into this prospectus. You should evaluate all forward-looking statements made in this prospectus, including the documents we incorporate by reference, in the context of these risks, uncertainties and other factors.</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made as of the date hereof and we undertake no obligation to publicly update or review any forward-looking statement, whether as a result of new information, future developments or otherwise.</w:t>
      </w:r>
    </w:p>
    <w:p>
      <w:pPr>
        <w:spacing w:after="0" w:line="36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904" w:right="6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985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27875" cy="7985125"/>
                    </a:xfrm>
                    <a:prstGeom prst="rect">
                      <a:avLst/>
                    </a:prstGeom>
                    <a:noFill/>
                  </pic:spPr>
                </pic:pic>
              </a:graphicData>
            </a:graphic>
          </wp:anchor>
        </w:drawing>
        <w:t>THE COMPANY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advancing therapies to address significant unmet needs in inflammatory skin and joint diseases. Our novel tri-specific Nanobody, SLK, is an IL-17A and IL-17F inhibitor that has shown therapeutic activity as measured by psoriasis area severity index (PASI) scores in patients with plaque-type psoriasis. The terms “Nanobody” and “Nanobodies” used herewith are registered trademarks of Ablynx N.V., Belgium, a Sanofi company. SLK is a proprietary Nanobody exclusively licensed from MHKDG.</w:t>
      </w:r>
    </w:p>
    <w:p>
      <w:pPr>
        <w:spacing w:after="0" w:line="18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are developing a portfolio of therapeutic indications for SLK, and are focused on demonstrating its efficacy, safety and dosing convenience, initially in hidradenitis suppurativa and psoriatic arthritis. We believe that SLK has a differentiated mechanism of action and potential to penetrate into deep skin and joint tissue. SLK’s purposefully designed molecular characteristics, including its smaller size compared to traditional monoclonal antibodies and its albumin binding site, are intended to facilitate deep tissue penetration in the skin and joints. We envision SLK as a key therapeutic alternative in our initial target indications and potentially in multiple other IL-17 driven inflammatory conditions. Building on the clinical data generated to date, we pursue the clinical development of SLK.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were originally incorporated on August 13, 2020 in the Cayman Islands as a special purpose acquisition company under the name Helix Acquisition Corp. (“Helix”), and our subsidiary, MoonLake AG, was incorporated in Switzerland in 2021. On April 5, 2022, MoonLake Immunotherapeutics (formerly known as Helix Acquisition Corp.) consummated the business combination pursuant to that certain Business Combination Agreement dated October 4, 2021 (the “Business Combination Agreement”), by and among Helix, MoonLake AG, the existing equityholders of MoonLake AG set forth on the signature pages to the Business Combination Agreement and equityholders of MoonLake AG that executed joinders to the Business Combination Agreement (collectively, the “ML Parties”), the Sponsor, and the representative of the ML Parties (such transactions contemplated by the Business Combination Agreement, collectively, the “Business Combination”). In connection with the consummation of the Business Combination, we changed our name from Helix Acquisition Corp. to MoonLake Immunotherapeutics. Our principal executive office is located in Dorfstrasse 29, 6300, Zug, Switzerland. Our website address is www.moonlaketx.com. Information contained on or accessible through our website is not a part of this prospectus. We have included our website in this prospectus solely as an inactive textual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of our IPO consummated on October 22, 2020 (that is, December 31, 2025), (b) in which we have total annual gross revenue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$1.235 billion, or (c) in which we are deemed to be a large accelerated filer, which means the market value of our Class A Ordinary Shares that are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non-affiliates exceeds $700 million as of the prior June 30, and (2) the date on which we have issued more than $1.0 billion in non-convertible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prior three-year period. References herein to “emerging growth company” will have the meaning associated with it in the JOBS Act.</w:t>
      </w:r>
    </w:p>
    <w:p>
      <w:pPr>
        <w:spacing w:after="0" w:line="20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183"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highlight w:val="white"/>
        </w:rPr>
        <w:t>Based on the aggregate market value of our common shares held by non-affiliates as of June 30, 2023, we believe we will become a “large accelerated filer” and no longer qualify as an emerging growth company or smaller reporting company as of December 31, 2023.</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27" w:right="479" w:bottom="1440" w:gutter="0" w:footer="0" w:header="0"/>
        </w:sectPr>
      </w:pPr>
    </w:p>
    <w:bookmarkStart w:id="37" w:name="page38"/>
    <w:bookmarkEnd w:id="3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any accompanying prospectus supplement before investing in any of our securities. Our business, financial condition, results of operations, cash flows or prospects could be materially and adversely affected by any of these risks. The risks and uncertainties described in the documents incorporated by reference herein are not the only risks and uncertainties that you may face.</w:t>
      </w:r>
    </w:p>
    <w:p>
      <w:pPr>
        <w:spacing w:after="0" w:line="18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our SEC filings, please see “Where You Can Find More Information” and “Incorporation of Certain Information by Reference.”</w:t>
      </w: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Unless otherwise specified in a prospectus supplement accompanying this prospectus, the net proceeds from the sale by us of the securities to which this prospectus relates will be used as working capital, including continuing to advance our pipeline through preclinical studies, clinical trials, regulatory submissions, commercial planning and commercialization, and for general corporate purposes. Our expected use of proceeds from the sale of the securities offered hereby represents our current intentions based on our present plans and business condition. As of the date of this prospectus, we cannot predict with certainty all of the particular uses for the proceeds to be received from the sale of the securities offered hereby or the amounts that we will actually spend on the uses set forth above.</w:t>
      </w:r>
    </w:p>
    <w:p>
      <w:pPr>
        <w:spacing w:after="0" w:line="18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Pending the use of the net proceeds, we may invest the proceeds in interest-bearing, investment-grade securities, certificates of deposit or government securities. When we offer and sell the securities to which this prospectus relates, the prospectus supplement related to such offering will set forth our intended use of the proceeds, if any, received from the sale of such securities.</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9" w:name="page40"/>
    <w:bookmarkEnd w:id="39"/>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w:t>
      </w:r>
    </w:p>
    <w:p>
      <w:pPr>
        <w:spacing w:after="0" w:line="36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900" w:right="779" w:bottom="1440" w:gutter="0" w:footer="0" w:header="0"/>
        </w:sectPr>
      </w:pPr>
    </w:p>
    <w:bookmarkStart w:id="40" w:name="page41"/>
    <w:bookmarkEnd w:id="4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SHARES</w:t>
      </w:r>
    </w:p>
    <w:p>
      <w:pPr>
        <w:spacing w:after="0" w:line="229"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brief description of the material provisions of our shares. Our Class A ordinary share is the only class of our securities registered pursuant to Section 12 of the Exchange Act. The following description of our shares does not purport to be complete and is subject to and qualified in its entirety by our Second Amended and Memorandum and Articles of Association (the “MAA”) and the applicable provisions of the Companies Act of the Cayman Islands, as amended (the “Companies Act”). We encourage you to read the MAA and the applicable provisions of the Companies Act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MAA authorizes the issuance of up to 655,000,000 shares, consisting of:</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Class B ordinary shares, par value US$0.0001 per share (“Class B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Class C ordinary shares, par value US$0.0001 per share (“Class C Ordinary Shares”);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preference shares, par value US$0.0001 per share (“preference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Rights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event of a winding up or dissolution of the Company, whether voluntary or involuntary or for the purposes of a reorganization or otherwise or upon any repayment or distribution of capital, the entitlement of the holders of Class C Ordinary Shares is determined in accordance with the MAA. Class C Ordinary Shares confer no other right to participate in the profits or assets of the Company (including, for the avoidance of doubt, any right to receive a dividend or other distribution).</w:t>
      </w:r>
    </w:p>
    <w:p>
      <w:pPr>
        <w:spacing w:after="0" w:line="180"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Class A Ordinary Shares carry the right to receive notice of and to attend, to speak at and to vote at any general meeting of the Company, rights in a winding up or repayment or distribution of capital and the right to participate in the profits or assets of the Company, in each case, in accordance with the MAA.</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provided by the rights attached to any ordinary shares in the MAA, rights attaching to the Class A Ordinary Shares and the Class C Ordinary Shares rank pari passu in all respects, and the Class A Ordinary Shares and Class C Ordinary Shares vote together as a single class on all matters.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MAA authorizes 5,000,000 preference shares and provides that preference shares may be issued from time to time in one or more series. Our board of directors (the “Board”) is authorized to fix the voting rights, if any, designations, powers, preferences, the relative, participating, optional or other special rights and any qualifications, limitations and restrictions thereof, applicable to the shares of each series.</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Board is able to, without shareholder approval, issue preference shares with voting and other rights that could adversely affect the voting power and other rights of the holders of the ordinary shares and could have anti-takeover effects. The ability of the Board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Class B Ordinary Shares issued or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required under Cayman Islands law, we keep a register of members that states:</w:t>
      </w:r>
    </w:p>
    <w:p>
      <w:pPr>
        <w:spacing w:after="0" w:line="225" w:lineRule="exact"/>
        <w:rPr>
          <w:sz w:val="20"/>
          <w:szCs w:val="20"/>
          <w:color w:val="auto"/>
        </w:rPr>
      </w:pPr>
    </w:p>
    <w:p>
      <w:pPr>
        <w:ind w:left="660" w:right="1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the amount paid or agreed to be considered as paid on the shares of each member and the voting rights of the shares of each member;</w:t>
      </w: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41" w:name="page42"/>
    <w:bookmarkEnd w:id="41"/>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voting rights are attached to the share in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raises a presumption of fact on the matters referred to above unless rebutted) and a member registered in the register of members is deemed as a matter of Cayman Islands law to have legal title to the shares as set against its name in the register of members.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Differences in Corporate Law</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Cayman Islands companies are governed by the Companies Act. The Companies Act is modeled on English Law but does not follow recent English Law statutory enactments, and differs from laws applicable to U.S.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178"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In certain circumstances, the Companies Act permits mergers or consolidations between two Cayman Islands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or between a Cayman Islands exempted company and a company incorporated in another jurisdiction (provided that is permitted or not prohibited by the constitutional documents of the company incorporated in another jurisdiction and facilitated by the laws of that other jurisdiction).</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(a) a special resolution (usually a majority of shareholders holding at least two-thirds of the voting shares voted at a general meeting) of the shareholders of each company; and (b) such other authorization, if any, as may be specified in such constituent company’s articles of association. No shareholder resolution is required for a merger between a parent company (i.e., a company that holds issued shares that together represent 90% of the votes at a general meeting of the subsidiary company) and its subsidiary company, if a copy of the plan of merger is given to every member of each subsidiary company to be merged, unless that member agrees otherwise. The consent of each holder of a fixed or floating security interest of a constituent company must be obtained, unless the Cayman Islands court waives such requirement or makes such order as the Cayman Islands court otherwise considers reasonable. The directors of each company are required to provide a declaration of the assets and liabilities of the company made up to the latest practicable date before the making of the declaration, and are further required to make a declaration to the effect that: (i) the company is able to pay its debts as they fall due and that the merger or consolidation is bona fide and not intended to defraud unsecured creditors of the company; (ii) no petition or other similar proceeding has been filed and remains outstanding and that no order has been made or resolution adopted to wind up the company in any jurisdiction; (iii) no receiver, trustee, administrator or other similar person has been appointed in any jurisdiction and is acting in respect of the company, its affairs or its property or any part thereof; (iv) no scheme, order, compromise or other similar arrangement has been entered into or made in any jurisdiction whereby the rights of creditors of the company are and continue to be suspended or restricted; (v) in the case of a constituent company that is not a surviving company, the constituent company has retired from any fiduciary office held or will do so immediately prior to the merger or consolidation; and (vi) where relevant, the company has complied with any applicable requirements under Cayman Islands regulatory laws.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ind w:firstLine="324"/>
        <w:spacing w:after="0" w:line="252" w:lineRule="auto"/>
        <w:rPr>
          <w:sz w:val="20"/>
          <w:szCs w:val="20"/>
          <w:color w:val="auto"/>
        </w:rPr>
      </w:pPr>
      <w:r>
        <w:rPr>
          <w:rFonts w:ascii="Times New Roman" w:cs="Times New Roman" w:eastAsia="Times New Roman" w:hAnsi="Times New Roman"/>
          <w:sz w:val="18"/>
          <w:szCs w:val="18"/>
          <w:color w:val="auto"/>
        </w:rPr>
        <w:t>Where the merger or consolidation involves a foreign company and the surviving company is the Cayman Islands exempted company, the procedure is similar, save that where the surviving or consolidated company is the Cayman Islands exempted company, the Cayman Islands Registrar of Companies is required to be satisfied in respect of any constituent overseas company that: (i)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no petition or other similar proceeding has been filed and remains outstanding or order made or resolution adopted to wind up or liquidate the foreign company in the jurisdiction in which the foreign company is existing; (iii) no receiver, trustee, administrator or other similar person has been appointed in any jurisdiction and is acting in respect of the foreign company, its affairs or its property or any part thereof; (iv) no scheme, order, compromise or other similar arrangement has been entered into or made in any jurisdiction whereby the rights of creditors of the foreign company are and continue to be suspended or restricted; (v) the foreign company is able to pay its debts as they fall due and that the merger or consolidation is bona fide and not intended to defraud unsecured creditors of the foreign company; (vi)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(vii) the foreign company will, upon the merger or consolidation becoming effective, cease to be incorporated, registered or exist under the laws of the relevant foreign jurisdiction; and (viii) there is no other reason why it would be against the public interest to permit the merger or consolidation. The requirements set out in sections (i) to (vii) above shall be met by a director of the Cayman Islands exempted company making a declaration to the effect that, having made due enquiry, they are of the opinion that such requirements have been met, such declaration to include a statement of the assets and liabilities of the foreign company made up to the latest practicable date before making the declaration.</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Where the above procedures are adopted, the Companies Act provides for a right of dissenting shareholders to be paid a payment of the fair value of their shares upon their dissenting to the merger or consolidation if they follow a prescribed procedure. In essence, that procedure is as follows: (a) the shareholder must give their written objection to the merger or consolidation to the constituent company before the vote on the merger or consolidation, including a statement that the shareholder proposes to demand payment for their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their intention to dissent including, among other details, a demand for payment of the fair value of their shares; (d) within seven days following the date of the expiration of the period set out in paragraph (c) above or within seven days following the date on which the plan of merger or consolidation is filed, whichever is later, the constituent company, the surviving company or the consolidated company must make a written offer to each dissenting shareholder to purchase their shares at a price that the company determines is the fair value and if the company and the shareholder agree to the price within 30 days following the date on which the offer was made, the company must pay the shareholder such amount; and (e) if the company and the shareholder fail to agree to a price within such 30 day period, within 20 days following the date on which such 30 day period expires, the company shall (and any dissenting shareholder may)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Cayman Islands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3" w:name="page44"/>
    <w:bookmarkEnd w:id="43"/>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(i) in respect a scheme of arrangement proposed between a company and its shareholders (or any class of shareholder), 75% in value of the shareholders (or each class of shareholder) who attend and vote, either in person or by proxy, at a meeting (or meetings) convened for that purpose; or (ii) a scheme of arrangement proposed between a company and its creditors (or any class of creditors), a majority in number representing 75% in value of the creditors (or each class of creditors) who attend and vote, either in person or by proxy, at a meeting (or meetings) convened for that purpose. The convening of the meetings and subsequently the terms of the arrangement must be sanctioned by the Cayman Islands court. While a dissenting shareholder would have the right to express to the Cayman Islands court the view that the scheme of arrangement should not be sanctioned, the Cayman Islands court may be expected to sanction the scheme of arrangement if it satisfies itself that:</w:t>
      </w:r>
    </w:p>
    <w:p>
      <w:pPr>
        <w:spacing w:after="0" w:line="182" w:lineRule="exact"/>
        <w:rPr>
          <w:sz w:val="20"/>
          <w:szCs w:val="20"/>
          <w:color w:val="auto"/>
        </w:rPr>
      </w:pPr>
    </w:p>
    <w:p>
      <w:pPr>
        <w:ind w:left="660" w:right="2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proposing to act illegally or beyond the scope of its corporate authority and the statutory provisions as to dual majority vote have been complied with;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as a businessman would reasonably approve; and</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If a scheme of arrangement is sanctioned by the Cayman Islands court, the scheme of arrangement will be binding on all of the shareholders (or each class of shareholder) or creditors (or each class of creditor).</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sanctioned by the Cayman Islands court,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7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Squeeze-out Provisions</w:t>
      </w:r>
      <w:r>
        <w:rPr>
          <w:rFonts w:ascii="Times New Roman" w:cs="Times New Roman" w:eastAsia="Times New Roman" w:hAnsi="Times New Roman"/>
          <w:sz w:val="18"/>
          <w:szCs w:val="18"/>
          <w:color w:val="auto"/>
        </w:rPr>
        <w:t>. When a takeover offer is made and accepted by holders of 90% of the shares to whom the offer relates within four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No Appraisal Rights</w:t>
      </w:r>
      <w:r>
        <w:rPr>
          <w:rFonts w:ascii="Times New Roman" w:cs="Times New Roman" w:eastAsia="Times New Roman" w:hAnsi="Times New Roman"/>
          <w:sz w:val="18"/>
          <w:szCs w:val="18"/>
          <w:color w:val="auto"/>
        </w:rPr>
        <w:t>. Our shareholders have no rights comparable to appraisal rights, which might otherwise ordinarily be available to dissenting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of United States corporations and allow such dissenting shareholders to receive payment in cash for the judicially determined value of the shares. However, appraisal rights would also not be available to shareholders of a Delaware target in a business combination transaction if the shares of the target were listed on a national securities exchange and target shareholders receive only shares of a corporation which shares are also listed on a national securities exchange.</w:t>
      </w:r>
    </w:p>
    <w:p>
      <w:pPr>
        <w:spacing w:after="0" w:line="185"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38"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Walkers (Cayman) LLP, our Cayman Islands counsel, is not aware of any reported class action having been brought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18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160" w:lineRule="exact"/>
        <w:rPr>
          <w:sz w:val="20"/>
          <w:szCs w:val="20"/>
          <w:color w:val="auto"/>
        </w:rPr>
      </w:pPr>
    </w:p>
    <w:p>
      <w:pPr>
        <w:ind w:right="4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Enforcement of Civil Liabilities</w:t>
      </w:r>
      <w:r>
        <w:rPr>
          <w:rFonts w:ascii="Times New Roman" w:cs="Times New Roman" w:eastAsia="Times New Roman" w:hAnsi="Times New Roman"/>
          <w:sz w:val="18"/>
          <w:szCs w:val="18"/>
          <w:color w:val="auto"/>
        </w:rPr>
        <w:t>. The Cayman Islands has a different body of securities laws as compared to the United States and provides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to investors. Additionally, Cayman Islands companies may not have standing to sue before the Federal courts of the United States.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been advised by Walkers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in the United States; and (ii) in original actions brought in the Cayman Islands, to impose liabilities against us predicated upon the civil liability provisions of the federal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8"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Special Considerations for Exempted Companies</w:t>
      </w:r>
      <w:r>
        <w:rPr>
          <w:rFonts w:ascii="Times New Roman" w:cs="Times New Roman" w:eastAsia="Times New Roman" w:hAnsi="Times New Roman"/>
          <w:sz w:val="18"/>
          <w:szCs w:val="18"/>
          <w:color w:val="auto"/>
        </w:rPr>
        <w:t>. The Company is an exempted company with limited liability under the Companies 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distinguishes between ordinary resident companies and exempted companies. Any company that is registered in the Cayman Islands but conducts business mainly outside of the Cayman Islands may apply to be registered as an exempted company. “Limited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the MAA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MAA provides that the Board be classified into three classes of directors, each to be elected for a three-year term.</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authorized but unissued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preference shares could render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for at least six months is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for at least six months but who are our affiliates at the time of, or at any time during the three months preceding, a sale, are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ordinary shares then outstanding;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Ordinary Shares during the four calendar weeks preceding the filing of a notice on Form 144 with respect to the sale.</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the Use of Rule 144 by Shell Companies or Former Shell Companies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As a result, our initial shareholders are able to sell their founder shares and private placement shares, as applicable, pursuant to Rule 144 without registration beginning April 5, 2023, one year after the date we completed the Business Combination.</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are no longer a shell company, and so, once the conditions set forth in the exceptions listed above are satisfied, Rule 144 will become available for the resale of the above noted restricted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the Class A Ordinary Shares and Class C Ordinary Shares is Continental Stock Transfer &amp; Trust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16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may offer senior or subordinated debt securities.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(the “Trust Indenture Act”). We included copies of the forms of the indentures as exhibits to our registration statement and they are incorporated into this prospectus by reference.</w:t>
      </w:r>
    </w:p>
    <w:p>
      <w:pPr>
        <w:spacing w:after="0" w:line="18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indentures:</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senior debt securities will be unsubordinated obligations and will rank equally with all of our other senior unsecured and unsubordinated indebtedness. Payments on the subordinated debt securities will be subordinated to the prior payment in full of all of our senior indebtedness, as described under “Description of Debt Securities—Subordination” and in the applicable prospectus supplement.</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47" w:name="page48"/>
    <w:bookmarkEnd w:id="47"/>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or subordinated;</w:t>
      </w:r>
    </w:p>
    <w:p>
      <w:pPr>
        <w:spacing w:after="0" w:line="225" w:lineRule="exact"/>
        <w:rPr>
          <w:rFonts w:ascii="Times New Roman" w:cs="Times New Roman" w:eastAsia="Times New Roman" w:hAnsi="Times New Roman"/>
          <w:sz w:val="18"/>
          <w:szCs w:val="18"/>
          <w:color w:val="auto"/>
        </w:rPr>
      </w:pPr>
    </w:p>
    <w:p>
      <w:pPr>
        <w:ind w:left="660" w:hanging="328"/>
        <w:spacing w:after="0" w:line="312" w:lineRule="auto"/>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39" w:lineRule="exact"/>
        <w:rPr>
          <w:rFonts w:ascii="Times New Roman" w:cs="Times New Roman" w:eastAsia="Times New Roman" w:hAnsi="Times New Roman"/>
          <w:sz w:val="17"/>
          <w:szCs w:val="17"/>
          <w:color w:val="auto"/>
        </w:rPr>
      </w:pPr>
    </w:p>
    <w:p>
      <w:pPr>
        <w:ind w:left="660" w:right="2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ordinary shares or other securities of ours or the method by which any such portion shall be determined;</w:t>
      </w:r>
    </w:p>
    <w:p>
      <w:pPr>
        <w:spacing w:after="0" w:line="179"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debt securities are convertible, including the initial conversion price or rate and the conversion period and any applicable limitations on the ownership or transferability of ordinary shares or other securities of ours received on conversion;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on which the principal of the debt securities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or variable interest rate or rates of the debt securities, or the method by which the interest rate or rates is determined;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from which interest will accrue;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interest payment dates, or the method by which such dates will be determined;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to whom interest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will be calculated if other than that of a 360-day year of twelve 30-day months;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or make-whole amount, and interest on, the debt securities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debt securities may be surrendered for registration of transfer or conversion or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notices or demands to or upon us in respect of the debt securities and the applicable indenture may be served;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times, prices and other terms and conditions upon which we may redeem the debt securities;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328" w:right="300" w:hanging="328"/>
        <w:spacing w:after="0" w:line="266"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175" w:lineRule="exact"/>
        <w:rPr>
          <w:rFonts w:ascii="Times New Roman" w:cs="Times New Roman" w:eastAsia="Times New Roman" w:hAnsi="Times New Roman"/>
          <w:sz w:val="18"/>
          <w:szCs w:val="18"/>
          <w:color w:val="auto"/>
        </w:rPr>
      </w:pPr>
    </w:p>
    <w:p>
      <w:pPr>
        <w:jc w:val="both"/>
        <w:ind w:left="328" w:right="280" w:hanging="328"/>
        <w:spacing w:after="0" w:line="266"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175" w:lineRule="exact"/>
        <w:rPr>
          <w:rFonts w:ascii="Times New Roman" w:cs="Times New Roman" w:eastAsia="Times New Roman" w:hAnsi="Times New Roman"/>
          <w:sz w:val="18"/>
          <w:szCs w:val="18"/>
          <w:color w:val="auto"/>
        </w:rPr>
      </w:pPr>
    </w:p>
    <w:p>
      <w:pPr>
        <w:ind w:left="328" w:right="60" w:hanging="328"/>
        <w:spacing w:after="0" w:line="266"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175" w:lineRule="exact"/>
        <w:rPr>
          <w:rFonts w:ascii="Times New Roman" w:cs="Times New Roman" w:eastAsia="Times New Roman" w:hAnsi="Times New Roman"/>
          <w:sz w:val="18"/>
          <w:szCs w:val="18"/>
          <w:color w:val="auto"/>
        </w:rPr>
      </w:pPr>
    </w:p>
    <w:p>
      <w:pPr>
        <w:ind w:left="328" w:right="240" w:hanging="328"/>
        <w:spacing w:after="0" w:line="282"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161" w:lineRule="exact"/>
        <w:rPr>
          <w:rFonts w:ascii="Times New Roman" w:cs="Times New Roman" w:eastAsia="Times New Roman" w:hAnsi="Times New Roman"/>
          <w:sz w:val="18"/>
          <w:szCs w:val="18"/>
          <w:color w:val="auto"/>
        </w:rPr>
      </w:pPr>
    </w:p>
    <w:p>
      <w:pPr>
        <w:ind w:left="328" w:hanging="328"/>
        <w:spacing w:after="0" w:line="261"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179" w:lineRule="exact"/>
        <w:rPr>
          <w:rFonts w:ascii="Times New Roman" w:cs="Times New Roman" w:eastAsia="Times New Roman" w:hAnsi="Times New Roman"/>
          <w:sz w:val="18"/>
          <w:szCs w:val="18"/>
          <w:color w:val="auto"/>
        </w:rPr>
      </w:pPr>
    </w:p>
    <w:p>
      <w:pPr>
        <w:ind w:left="328" w:right="60" w:hanging="328"/>
        <w:spacing w:after="0" w:line="282"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61" w:lineRule="exact"/>
        <w:rPr>
          <w:rFonts w:ascii="Times New Roman" w:cs="Times New Roman" w:eastAsia="Times New Roman" w:hAnsi="Times New Roman"/>
          <w:sz w:val="18"/>
          <w:szCs w:val="18"/>
          <w:color w:val="auto"/>
        </w:rPr>
      </w:pPr>
    </w:p>
    <w:p>
      <w:pPr>
        <w:jc w:val="both"/>
        <w:ind w:left="328" w:right="20" w:hanging="328"/>
        <w:spacing w:after="0" w:line="266"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depositary for securities in registered form, if such series are to be issuable as a global security;</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debt securities in bearer form or in temporary global form shall be dated if other than the original issuance date of the first security of the series to be issued;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described in this prospectus or in the applicable indenture;</w:t>
      </w:r>
    </w:p>
    <w:p>
      <w:pPr>
        <w:spacing w:after="0" w:line="225" w:lineRule="exact"/>
        <w:rPr>
          <w:rFonts w:ascii="Times New Roman" w:cs="Times New Roman" w:eastAsia="Times New Roman" w:hAnsi="Times New Roman"/>
          <w:sz w:val="18"/>
          <w:szCs w:val="18"/>
          <w:color w:val="auto"/>
        </w:rPr>
      </w:pPr>
    </w:p>
    <w:p>
      <w:pPr>
        <w:ind w:left="328" w:right="1020" w:hanging="328"/>
        <w:spacing w:after="0" w:line="282"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61" w:lineRule="exact"/>
        <w:rPr>
          <w:rFonts w:ascii="Times New Roman" w:cs="Times New Roman" w:eastAsia="Times New Roman" w:hAnsi="Times New Roman"/>
          <w:sz w:val="18"/>
          <w:szCs w:val="18"/>
          <w:color w:val="auto"/>
        </w:rPr>
      </w:pPr>
    </w:p>
    <w:p>
      <w:pPr>
        <w:ind w:left="328" w:right="100" w:hanging="328"/>
        <w:spacing w:after="0" w:line="282"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debt securities being offered are convertible into ordinary shares or other securities of ours, as the case may be, including the conversion price or rate and the manner or calculation thereof;</w:t>
      </w:r>
    </w:p>
    <w:p>
      <w:pPr>
        <w:spacing w:after="0" w:line="161" w:lineRule="exact"/>
        <w:rPr>
          <w:rFonts w:ascii="Times New Roman" w:cs="Times New Roman" w:eastAsia="Times New Roman" w:hAnsi="Times New Roman"/>
          <w:sz w:val="18"/>
          <w:szCs w:val="18"/>
          <w:color w:val="auto"/>
        </w:rPr>
      </w:pPr>
    </w:p>
    <w:p>
      <w:pPr>
        <w:ind w:left="328" w:right="80" w:hanging="328"/>
        <w:spacing w:after="0" w:line="266"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38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49" w:name="page50"/>
    <w:bookmarkEnd w:id="49"/>
    <w:p>
      <w:pPr>
        <w:ind w:left="660" w:right="70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of securities upon the occurrence of such events as specified in the applicable prospectus supplement;</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CUSIP numbers;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debt securities not inconsistent with the provisions of the applicable indenture.</w:t>
      </w:r>
    </w:p>
    <w:p>
      <w:pPr>
        <w:spacing w:after="0" w:line="225" w:lineRule="exact"/>
        <w:rPr>
          <w:sz w:val="20"/>
          <w:szCs w:val="20"/>
          <w:color w:val="auto"/>
        </w:rPr>
      </w:pPr>
    </w:p>
    <w:p>
      <w:pPr>
        <w:ind w:right="520" w:firstLine="324"/>
        <w:spacing w:after="0" w:line="258"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 including the portion of the principal amount thereof to be payable upon declaration of acceleration of the maturity of the debt securities.</w:t>
      </w:r>
    </w:p>
    <w:p>
      <w:pPr>
        <w:spacing w:after="0" w:line="18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Except as described in the indentures under “Compliance with Consolidation Provisions” and “Successor Entity”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80"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Denomination, Interest, Registration and Transfer</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the debt securities of any series will be issuable in denominations of $1,000 and integral multiples of $1,000.</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62" w:lineRule="exact"/>
        <w:rPr>
          <w:sz w:val="20"/>
          <w:szCs w:val="20"/>
          <w:color w:val="auto"/>
        </w:rPr>
      </w:pPr>
    </w:p>
    <w:p>
      <w:pPr>
        <w:ind w:left="660" w:right="4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them for registration of transfer or exchange at the corporate trust office of the applicable trustee or at the office of any transfer agent that we designate for such purpose.</w:t>
      </w:r>
    </w:p>
    <w:p>
      <w:pPr>
        <w:spacing w:after="0" w:line="16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Neither we, nor any trustee, will be required to:</w:t>
      </w:r>
    </w:p>
    <w:p>
      <w:pPr>
        <w:spacing w:after="0" w:line="225" w:lineRule="exact"/>
        <w:rPr>
          <w:sz w:val="20"/>
          <w:szCs w:val="20"/>
          <w:color w:val="auto"/>
        </w:rPr>
      </w:pPr>
    </w:p>
    <w:p>
      <w:pPr>
        <w:ind w:left="660" w:right="8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any series during a period beginning at the opening of business 15 days before the day that a notice of redemption of less than all the outstanding debt securities of the same series is mailed and ending at the close of business on the day of such mailing;</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62" w:lineRule="exact"/>
        <w:rPr>
          <w:sz w:val="20"/>
          <w:szCs w:val="20"/>
          <w:color w:val="auto"/>
        </w:rPr>
      </w:pPr>
    </w:p>
    <w:p>
      <w:pPr>
        <w:jc w:val="both"/>
        <w:ind w:left="660" w:right="2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pacing w:after="0" w:line="175" w:lineRule="exact"/>
        <w:rPr>
          <w:rFonts w:ascii="Times New Roman" w:cs="Times New Roman" w:eastAsia="Times New Roman" w:hAnsi="Times New Roman"/>
          <w:sz w:val="18"/>
          <w:szCs w:val="18"/>
          <w:color w:val="auto"/>
        </w:rPr>
      </w:pPr>
    </w:p>
    <w:p>
      <w:pPr>
        <w:ind w:left="660" w:right="300" w:hanging="328"/>
        <w:spacing w:after="0" w:line="289" w:lineRule="auto"/>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any outstanding debt securities shall be entitled to receive upon conversion or exchange of such debt securities the number of securities or property to which a holder of the number of ordinary shares or other securities of the Company deliverable upon conversion or exchange of such debt securities would have been entitled had such conversion or exchange occurred immediately prior to the transaction; and</w:t>
      </w:r>
    </w:p>
    <w:p>
      <w:pPr>
        <w:spacing w:after="0" w:line="15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7"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Existence. </w:t>
      </w:r>
      <w:r>
        <w:rPr>
          <w:rFonts w:ascii="Times New Roman" w:cs="Times New Roman" w:eastAsia="Times New Roman" w:hAnsi="Times New Roman"/>
          <w:sz w:val="18"/>
          <w:szCs w:val="18"/>
          <w:color w:val="auto"/>
        </w:rPr>
        <w:t>Except as described therein under “Company May Consolidate, Etc.,” the indentures require us to do or cause to be done all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73"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of financial information. </w:t>
      </w:r>
      <w:r>
        <w:rPr>
          <w:rFonts w:ascii="Times New Roman" w:cs="Times New Roman" w:eastAsia="Times New Roman" w:hAnsi="Times New Roman"/>
          <w:sz w:val="18"/>
          <w:szCs w:val="18"/>
          <w:color w:val="auto"/>
        </w:rPr>
        <w:t>The indentures require us to (i) within 30 days of each of the respective dates by which we are required to file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reports, quarterly reports and other documents with the SEC, file with the trustee copies of the annual report, quarterly report and other documents that we file with the SEC under Section 13 or 15(d) of the Exchange Act and (ii) file with the trustee and the SEC any additional information, documents and reports regarding compliance by us with the conditions and covenants of the indentures, as required.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Additional covenants. </w:t>
      </w:r>
      <w:r>
        <w:rPr>
          <w:rFonts w:ascii="Times New Roman" w:cs="Times New Roman" w:eastAsia="Times New Roman" w:hAnsi="Times New Roman"/>
          <w:sz w:val="18"/>
          <w:szCs w:val="18"/>
          <w:color w:val="auto"/>
        </w:rPr>
        <w:t>The applicable prospectus supplement will set forth any of our additional covenants relating to any series of debt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90 days;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or make-whole amount on, any debt security of such series as and when the same shall become due and payable, whether at maturity, upon redemption, by declaration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making any sinking fund payment as required for any debt security of such series as and when due and payable;</w:t>
      </w:r>
    </w:p>
    <w:p>
      <w:pPr>
        <w:spacing w:after="0" w:line="225"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90 days after written notice as provided in the applicable indenture, but not of a covenant added to the indenture solely for the benefit of a series of debt securities issued thereunder other than such series;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Notice of any such default shall be given to us by the trustee, or to us and the trustee by the holders of at least 25%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83" w:lineRule="exact"/>
        <w:rPr>
          <w:sz w:val="20"/>
          <w:szCs w:val="20"/>
          <w:color w:val="auto"/>
        </w:rPr>
      </w:pPr>
    </w:p>
    <w:p>
      <w:pPr>
        <w:ind w:left="660" w:right="4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matured installments of interest upon and the principal of (and premium, if any, on) all the outstanding debt securities of such series that shall have become other than by acceleration (with interest upon such principal and premium, if any, and upon overdue installments of interest), plus applicable fees, expenses, disbursements and advances of the applicable trustee; and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(and premium, if any) and accrued and unpaid interest on debt securities of such series, have been cured or waived.</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indentures require each trustee to give notice to the holders of debt securities within the later of 90 days after of a default occurs and 30 days after it is actually known to a trustee or written notice of it is received by the trustee,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87"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Indentures</w:t>
      </w:r>
    </w:p>
    <w:p>
      <w:pPr>
        <w:spacing w:after="0" w:line="229" w:lineRule="exact"/>
        <w:rPr>
          <w:sz w:val="20"/>
          <w:szCs w:val="20"/>
          <w:color w:val="auto"/>
        </w:rPr>
      </w:pPr>
    </w:p>
    <w:p>
      <w:pPr>
        <w:ind w:right="240" w:firstLine="324"/>
        <w:spacing w:after="0" w:line="272" w:lineRule="auto"/>
        <w:rPr>
          <w:sz w:val="20"/>
          <w:szCs w:val="20"/>
          <w:color w:val="auto"/>
        </w:rPr>
      </w:pPr>
      <w:r>
        <w:rPr>
          <w:rFonts w:ascii="Times New Roman" w:cs="Times New Roman" w:eastAsia="Times New Roman" w:hAnsi="Times New Roman"/>
          <w:sz w:val="17"/>
          <w:szCs w:val="17"/>
          <w:color w:val="auto"/>
        </w:rPr>
        <w:t>The indentures provide that no modifications or amendments may, without the consent of each affected holder, impair the right of any holder of any debt security to (i) receive payment of the principal of (and premium, if any) and interest on the debt securities, as provided in the debt securities or indentures, on or after the respective due dates expressed in the debt securities or the indentures (or in the case of redemption, on the redemption date) or</w:t>
      </w:r>
    </w:p>
    <w:p>
      <w:pPr>
        <w:spacing w:after="0" w:line="2" w:lineRule="exact"/>
        <w:rPr>
          <w:sz w:val="20"/>
          <w:szCs w:val="20"/>
          <w:color w:val="auto"/>
        </w:rPr>
      </w:pPr>
    </w:p>
    <w:p>
      <w:pPr>
        <w:ind w:right="20" w:firstLine="8"/>
        <w:spacing w:after="0" w:line="260" w:lineRule="auto"/>
        <w:tabs>
          <w:tab w:leader="none" w:pos="2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suit for the enforcement of any such payment on or after such respective dates or redemption date. Furthermore, no modification or amendment may, without the consent of the holders of all of the debt securities affected by the modification or amendment:</w:t>
      </w:r>
    </w:p>
    <w:p>
      <w:pPr>
        <w:spacing w:after="0" w:line="18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premium or make-whole amount on, or any installment of principal of or interest on, any such debt security, or reduce the amount of interest payable thereon or principal thereof;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any outstanding debt securities necessary to modify or amend the applicable indenture with respect to such debt securities.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debt securities of each affected series may, on behalf of all holders of debt securities of that series, waive, insofar as that series is concerned, our compliance with material restrictive covenants of the applicable indenture.</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and our respective trustee may make modifications and amendments of an indenture without the consent of any holder of debt securities, including for any of the following purposes:</w:t>
      </w:r>
    </w:p>
    <w:p>
      <w:pPr>
        <w:spacing w:after="0" w:line="16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as obligor under such indenture in compliance with the Trust Indenture Act;</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all or any series of debt securities or to surrender any right or power conferred upon us in such indenture;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an indenture (i) to change or eliminate restrictions on the payment of principal of, or premium or make-whole amount, or interest on, debt securities in bearer form, (ii) to permit or facilitate the issuance of debt securities in uncertificated form, or (iii) that otherwise does not adversely affect the interests of the holders of the debt securities of any series in any material respect;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of any series;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or facilitate the administration of the trusts under an indenture by more than one trustee;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an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subordinated debt securities will be subject to the following subordination provisions.</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18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162" w:lineRule="exact"/>
        <w:rPr>
          <w:sz w:val="20"/>
          <w:szCs w:val="20"/>
          <w:color w:val="auto"/>
        </w:rPr>
      </w:pPr>
    </w:p>
    <w:p>
      <w:pPr>
        <w:ind w:left="660" w:hanging="328"/>
        <w:spacing w:after="0" w:line="255"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and</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stating the conditions to discharging the debt securities have been satisfied has been delivered to the trustee.</w:t>
      </w:r>
    </w:p>
    <w:p>
      <w:pPr>
        <w:spacing w:after="0" w:line="16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we may elect either:</w:t>
      </w:r>
    </w:p>
    <w:p>
      <w:pPr>
        <w:spacing w:after="0" w:line="18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obligations with respect to such debt securities; or</w:t>
      </w:r>
    </w:p>
    <w:p>
      <w:pPr>
        <w:spacing w:after="0" w:line="225"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with respect to such debt securities under the applicable indenture or, if provided in the applicable prospectus supplement, our obligations with respect to any other covenant, and any omission to comply with such obligations shall not constitute an event of default with respect to such debt securities.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we use the term “government obligations,” we mean securities that are:</w:t>
      </w:r>
    </w:p>
    <w:p>
      <w:pPr>
        <w:spacing w:after="0" w:line="225" w:lineRule="exact"/>
        <w:rPr>
          <w:sz w:val="20"/>
          <w:szCs w:val="20"/>
          <w:color w:val="auto"/>
        </w:rPr>
      </w:pPr>
    </w:p>
    <w:p>
      <w:pPr>
        <w:ind w:left="660" w:right="3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5" w:name="page56"/>
    <w:bookmarkEnd w:id="55"/>
    <w:p>
      <w:pPr>
        <w:ind w:left="340"/>
        <w:spacing w:after="0"/>
        <w:rPr>
          <w:sz w:val="20"/>
          <w:szCs w:val="20"/>
          <w:color w:val="auto"/>
        </w:rPr>
      </w:pPr>
      <w:r>
        <w:rPr>
          <w:rFonts w:ascii="Times New Roman" w:cs="Times New Roman" w:eastAsia="Times New Roman" w:hAnsi="Times New Roman"/>
          <w:sz w:val="18"/>
          <w:szCs w:val="18"/>
          <w:color w:val="auto"/>
        </w:rPr>
        <w:t>When we use the term “conversion event,” we mean the cessation of use of:</w:t>
      </w:r>
    </w:p>
    <w:p>
      <w:pPr>
        <w:spacing w:after="0" w:line="225" w:lineRule="exact"/>
        <w:rPr>
          <w:sz w:val="20"/>
          <w:szCs w:val="20"/>
          <w:color w:val="auto"/>
        </w:rPr>
      </w:pPr>
    </w:p>
    <w:p>
      <w:pPr>
        <w:ind w:left="660" w:righ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Currency Unit both within the European Monetary System and for the settlement of transactions by public institutions of or within the European Communities;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ordinary shares or other securities of ours will be set forth in the applicable prospectus supplement. The terms will include whether the debt securities are convertible into ordinary shares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7" w:name="page58"/>
    <w:bookmarkEnd w:id="57"/>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at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Recourse</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There is no recourse under any obligation, covenant or agreement in the applicable indenture or with respect to any security against any of our or our successor’s past, present or future shareholders, employees, officers or directors.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ordinary shares, preference shares and/or debt securities in one or more series. We may issue warrants independently or together with ordinary shares, preference shares and/or debt securities, and the warrants may be attached to or separate from these securities.</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225"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ordinary shares or preference shares, the number of ordinary shares or preference shares, as the case may be, purchasable upon the exercise of one warrant and the price at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issue units comprised of ordinary shares, preference shares,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80" w:lineRule="exact"/>
        <w:rPr>
          <w:sz w:val="20"/>
          <w:szCs w:val="20"/>
          <w:color w:val="auto"/>
        </w:rPr>
      </w:pPr>
    </w:p>
    <w:p>
      <w:pPr>
        <w:ind w:left="660" w:right="1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Shares,” “Description of Debt Securities” and “Description of Warrants” will apply to the securities included in each unit, to the extent relevant and as may be updated in any prospectus supplements.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ind w:left="34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including modifying any provisions of the governing unit agreement that differ from those described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162" w:lineRule="exact"/>
        <w:rPr>
          <w:sz w:val="20"/>
          <w:szCs w:val="20"/>
          <w:color w:val="auto"/>
        </w:rPr>
      </w:pPr>
    </w:p>
    <w:p>
      <w:pPr>
        <w:ind w:left="660" w:right="12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225" w:lineRule="exact"/>
        <w:rPr>
          <w:sz w:val="20"/>
          <w:szCs w:val="20"/>
          <w:color w:val="auto"/>
        </w:rPr>
      </w:pPr>
    </w:p>
    <w:p>
      <w:pPr>
        <w:ind w:left="660" w:right="10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161" w:lineRule="exact"/>
        <w:rPr>
          <w:rFonts w:ascii="Times New Roman" w:cs="Times New Roman" w:eastAsia="Times New Roman" w:hAnsi="Times New Roman"/>
          <w:sz w:val="18"/>
          <w:szCs w:val="18"/>
          <w:color w:val="auto"/>
        </w:rPr>
      </w:pPr>
    </w:p>
    <w:p>
      <w:pPr>
        <w:jc w:val="both"/>
        <w:ind w:left="660" w:right="700" w:hanging="328"/>
        <w:spacing w:after="0" w:line="312" w:lineRule="auto"/>
        <w:tabs>
          <w:tab w:leader="none" w:pos="6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40"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1" w:name="page62"/>
    <w:bookmarkEnd w:id="61"/>
    <w:p>
      <w:pPr>
        <w:ind w:firstLine="324"/>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unit agreements and the units will be governed by Delaware law.</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Unless the accompanying prospectus supplement states otherwise, 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the accompanying prospectus supplement states otherwise, each unit and all securities comprising the unit will be issued in the same form.</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89" w:lineRule="exact"/>
        <w:rPr>
          <w:sz w:val="20"/>
          <w:szCs w:val="20"/>
          <w:color w:val="auto"/>
        </w:rPr>
      </w:pPr>
    </w:p>
    <w:p>
      <w:pPr>
        <w:ind w:left="660" w:right="2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9" w:lineRule="auto"/>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157" w:lineRule="exact"/>
        <w:rPr>
          <w:rFonts w:ascii="Times New Roman" w:cs="Times New Roman" w:eastAsia="Times New Roman" w:hAnsi="Times New Roman"/>
          <w:sz w:val="17"/>
          <w:szCs w:val="17"/>
          <w:color w:val="auto"/>
        </w:rPr>
      </w:pPr>
    </w:p>
    <w:p>
      <w:pPr>
        <w:ind w:left="660" w:right="60" w:hanging="328"/>
        <w:spacing w:after="0" w:line="25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203"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 under the Securities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offering may be made into an existing trading market for such securities in transactions at other than a fixed price, either:</w:t>
      </w:r>
    </w:p>
    <w:p>
      <w:pPr>
        <w:spacing w:after="0" w:line="207" w:lineRule="exact"/>
        <w:rPr>
          <w:sz w:val="20"/>
          <w:szCs w:val="20"/>
          <w:color w:val="auto"/>
        </w:rPr>
      </w:pPr>
    </w:p>
    <w:p>
      <w:pPr>
        <w:ind w:left="660" w:right="4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The Nasdaq Capital Market or any other securities exchange or quotation or trading service on which such securities may be listed, quoted or traded at the time of sale; and/or</w:t>
      </w:r>
    </w:p>
    <w:p>
      <w:pPr>
        <w:spacing w:after="0" w:line="161" w:lineRule="exact"/>
        <w:rPr>
          <w:rFonts w:ascii="Times New Roman" w:cs="Times New Roman" w:eastAsia="Times New Roman" w:hAnsi="Times New Roman"/>
          <w:sz w:val="18"/>
          <w:szCs w:val="18"/>
          <w:color w:val="auto"/>
        </w:rPr>
      </w:pPr>
    </w:p>
    <w:p>
      <w:pPr>
        <w:ind w:left="340" w:right="280" w:hanging="8"/>
        <w:spacing w:after="0" w:line="500" w:lineRule="auto"/>
        <w:tabs>
          <w:tab w:leader="none" w:pos="6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otherwise than on The Nasdaq Capital Market or such other securities exchanges or quotation or trading services. Such at the market offerings, if any, may be conducted by underwriters acting as principal or agent.</w:t>
      </w:r>
    </w:p>
    <w:p>
      <w:pPr>
        <w:spacing w:after="0" w:line="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62"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6"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offerings pursuant to this prospectus,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All securities we offer, other than our Class A Ordinary Shares and Class C Ordinary Shares, will be new issues of securities, and all securities we offer, other than our Class A Ordinary Shares, will have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Certain legal matters relating to U.S. law will be passed upon for us by Gibson, Dunn &amp; Crutcher LLP. The validity of the securities offered in this prospectus and certain other legal matters relating to Cayman Islands law will be passed upon for us by Walkers (Cayman) LLP. Additional legal matters may be passed upon for us or any underwriters, dealers or agents, by counsel that we will name in the applicable prospectus supplement.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MoonLake Immunotherapeutics as of and for the periods ended December 31, 2022 and 2021 incorporated by reference herein, have been audited by Baker Tilly US, LLP, an independent registered public accounting firm, as set forth in their report thereon incorporated by reference herein, in reliance upon such report and upon the authority of said firm as experts in accounting and auditing.</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also filed a registration statement on Form S-3, including exhibits, under the Securities Act with respect to the securities offered by this prospectus. This prospectus is a part of that registration statement, but does not contain all of the information included in the registration statement or the exhibits.</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You may access our annual reports on Form 10-K, quarterly reports on Form 10-Q, current reports on Form 8-K, proxy statements on Schedule 14A and amendments or supplements to those reports and statements, filed with the SEC, free of charge at our website at www.moonlaketx.com or by means of the SEC’s website at www.sec.gov. The information found on, or that can be accessed from or that is hyperlinked to, our website or the SEC’s website is not part of this prospectus and you should not rely on that information when making a decision to invest in our Class A Ordinary Shares.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and any prospectus supplement, periodic and current reports, proxy statements and other information filed or furnished with the SEC concerning the contents of any contract, agreement or other document is only a summary of the actual contract, agreement or other document. If we have filed any contract, document, agreement or other document as an exhibit to such filing or furnishing, you should read the exhibit for a more complete understanding of the document or matter involved. Each statement regarding a contract, agreement or other document is qualified in its entirety by reference to the actual document.</w:t>
      </w:r>
    </w:p>
    <w:p>
      <w:pPr>
        <w:spacing w:after="0" w:line="18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Upon written or oral request, we will provide without charge to each person to whom a copy of this prospectus is delivered a copy of the documents incorporated by reference herein (other than exhibits to such documents unless such exhibits are specifically incorporated by reference herein). You may request a copy of these filings, at no cost, by writing, calling or emailing us at the contact information set forth below. We have authorized no one to provide you with any information that differs from that contained in this prospectus. Accordingly, we take no responsibility for any other information that others may give you. You should not assume that the information in this prospectus is accurate as of any date other than the date of the front cover of this prospectus.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MoonLake Immunotherapeutics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Dorfstrasse 29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6300 Zug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41 415108022</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This prospectus incorporates by reference important business and financial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information referenced in this way is considered part of this prospectus. Any subsequent information filed with the SEC will automatically be deemed to update and supersede the information in this prospectus and in our other filings with the SEC. We incorporate by reference:</w:t>
      </w:r>
    </w:p>
    <w:p>
      <w:pPr>
        <w:spacing w:after="0" w:line="187"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9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filed with the SEC on March 20, 2023;</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 ended March 31, 2023, filed with the SEC on </w:t>
      </w:r>
      <w:hyperlink r:id="rId95">
        <w:r>
          <w:rPr>
            <w:rFonts w:ascii="Times New Roman" w:cs="Times New Roman" w:eastAsia="Times New Roman" w:hAnsi="Times New Roman"/>
            <w:sz w:val="18"/>
            <w:szCs w:val="18"/>
            <w:u w:val="single" w:color="auto"/>
            <w:color w:val="0000EE"/>
          </w:rPr>
          <w:t>May 11, 2023</w:t>
        </w:r>
      </w:hyperlink>
      <w:r>
        <w:rPr>
          <w:rFonts w:ascii="Times New Roman" w:cs="Times New Roman" w:eastAsia="Times New Roman" w:hAnsi="Times New Roman"/>
          <w:sz w:val="18"/>
          <w:szCs w:val="18"/>
          <w:color w:val="auto"/>
        </w:rPr>
        <w:t xml:space="preserve">, and the quarter ended June 30, 2023, filed with the SEC on </w:t>
      </w:r>
      <w:hyperlink r:id="rId96">
        <w:r>
          <w:rPr>
            <w:rFonts w:ascii="Times New Roman" w:cs="Times New Roman" w:eastAsia="Times New Roman" w:hAnsi="Times New Roman"/>
            <w:sz w:val="18"/>
            <w:szCs w:val="18"/>
            <w:u w:val="single" w:color="auto"/>
            <w:color w:val="0000EE"/>
          </w:rPr>
          <w:t>August 10, 2023</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97">
        <w:r>
          <w:rPr>
            <w:rFonts w:ascii="Times New Roman" w:cs="Times New Roman" w:eastAsia="Times New Roman" w:hAnsi="Times New Roman"/>
            <w:sz w:val="18"/>
            <w:szCs w:val="18"/>
            <w:u w:val="single" w:color="auto"/>
            <w:color w:val="0000EE"/>
          </w:rPr>
          <w:t>May 19, 2023</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EE"/>
          </w:rPr>
          <w:t>June 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9">
        <w:r>
          <w:rPr>
            <w:rFonts w:ascii="Times New Roman" w:cs="Times New Roman" w:eastAsia="Times New Roman" w:hAnsi="Times New Roman"/>
            <w:sz w:val="18"/>
            <w:szCs w:val="18"/>
            <w:u w:val="single" w:color="auto"/>
            <w:color w:val="0000EE"/>
          </w:rPr>
          <w:t>June 29, 2023</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w:t>
      </w:r>
      <w:hyperlink r:id="rId100">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9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as filed with the SEC on March 20, 2023, as may be further amended by any amendments or reports filed for the purposes of updating this description.</w:t>
      </w:r>
    </w:p>
    <w:p>
      <w:pPr>
        <w:spacing w:after="0" w:line="162" w:lineRule="exact"/>
        <w:rPr>
          <w:rFonts w:ascii="Times New Roman" w:cs="Times New Roman" w:eastAsia="Times New Roman" w:hAnsi="Times New Roman"/>
          <w:sz w:val="18"/>
          <w:szCs w:val="18"/>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foregoing, information furnished under Items 2.02 and 7.01 of any Current Report on Form 8-K, including the related exhibits under Item 9.01, is not incorporated by reference in this prospectus.</w:t>
      </w:r>
    </w:p>
    <w:p>
      <w:pPr>
        <w:spacing w:after="0" w:line="162" w:lineRule="exact"/>
        <w:rPr>
          <w:rFonts w:ascii="Times New Roman" w:cs="Times New Roman" w:eastAsia="Times New Roman" w:hAnsi="Times New Roman"/>
          <w:sz w:val="18"/>
          <w:szCs w:val="18"/>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prospectus any further filings we make with the SEC under Sections 13(a), 13(c), 14 or 15(d) of the Exchange Act (other than portions deemed to have been “furnished” and not filed with the SEC, including those made pursuant to Item 2.02 or Item 7.01 of Form 8-K or other information), including all filings filed after the date hereof and prior to the completion of the offering of all securities under this prospectus.</w:t>
      </w:r>
    </w:p>
    <w:p>
      <w:pPr>
        <w:spacing w:after="0" w:line="38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9,000,000 Class A 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up to 1,000,000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859790</wp:posOffset>
            </wp:positionV>
            <wp:extent cx="3566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156845</wp:posOffset>
            </wp:positionV>
            <wp:extent cx="2117090" cy="5657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21170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484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7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23"/>
        </w:trPr>
        <w:tc>
          <w:tcPr>
            <w:tcW w:w="2820" w:type="dxa"/>
            <w:vAlign w:val="bottom"/>
          </w:tcPr>
          <w:p>
            <w:pPr>
              <w:spacing w:after="0"/>
              <w:rPr>
                <w:sz w:val="19"/>
                <w:szCs w:val="19"/>
                <w:color w:val="auto"/>
              </w:rPr>
            </w:pPr>
          </w:p>
        </w:tc>
        <w:tc>
          <w:tcPr>
            <w:tcW w:w="39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0" w:type="dxa"/>
            <w:vAlign w:val="bottom"/>
          </w:tcPr>
          <w:p>
            <w:pPr>
              <w:spacing w:after="0"/>
              <w:rPr>
                <w:sz w:val="19"/>
                <w:szCs w:val="19"/>
                <w:color w:val="auto"/>
              </w:rPr>
            </w:pPr>
          </w:p>
        </w:tc>
      </w:tr>
      <w:tr>
        <w:trPr>
          <w:trHeight w:val="432"/>
        </w:trPr>
        <w:tc>
          <w:tcPr>
            <w:tcW w:w="2820" w:type="dxa"/>
            <w:vAlign w:val="bottom"/>
          </w:tcPr>
          <w:p>
            <w:pPr>
              <w:spacing w:after="0"/>
              <w:rPr>
                <w:sz w:val="24"/>
                <w:szCs w:val="24"/>
                <w:color w:val="auto"/>
              </w:rPr>
            </w:pPr>
          </w:p>
        </w:tc>
        <w:tc>
          <w:tcPr>
            <w:tcW w:w="3900" w:type="dxa"/>
            <w:vAlign w:val="bottom"/>
          </w:tcPr>
          <w:p>
            <w:pPr>
              <w:jc w:val="center"/>
              <w:ind w:left="1610"/>
              <w:spacing w:after="0"/>
              <w:rPr>
                <w:sz w:val="20"/>
                <w:szCs w:val="20"/>
                <w:color w:val="auto"/>
              </w:rPr>
            </w:pPr>
            <w:r>
              <w:rPr>
                <w:rFonts w:ascii="Times New Roman" w:cs="Times New Roman" w:eastAsia="Times New Roman" w:hAnsi="Times New Roman"/>
                <w:sz w:val="18"/>
                <w:szCs w:val="18"/>
                <w:i w:val="1"/>
                <w:iCs w:val="1"/>
                <w:color w:val="auto"/>
                <w:w w:val="99"/>
              </w:rPr>
              <w:t>Joint Bookrunning Managers</w:t>
            </w: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59"/>
        </w:trPr>
        <w:tc>
          <w:tcPr>
            <w:tcW w:w="28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Leerink Partners</w:t>
            </w:r>
          </w:p>
        </w:tc>
        <w:tc>
          <w:tcPr>
            <w:tcW w:w="39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Guggenheim Securities</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Cantor</w:t>
            </w:r>
          </w:p>
        </w:tc>
        <w:tc>
          <w:tcPr>
            <w:tcW w:w="780" w:type="dxa"/>
            <w:vAlign w:val="bottom"/>
          </w:tcPr>
          <w:p>
            <w:pPr>
              <w:spacing w:after="0"/>
              <w:rPr>
                <w:sz w:val="24"/>
                <w:szCs w:val="24"/>
                <w:color w:val="auto"/>
              </w:rPr>
            </w:pPr>
          </w:p>
        </w:tc>
        <w:tc>
          <w:tcPr>
            <w:tcW w:w="28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LifeSci Capital</w:t>
            </w:r>
          </w:p>
        </w:tc>
      </w:tr>
      <w:tr>
        <w:trPr>
          <w:trHeight w:val="459"/>
        </w:trPr>
        <w:tc>
          <w:tcPr>
            <w:tcW w:w="2820" w:type="dxa"/>
            <w:vAlign w:val="bottom"/>
          </w:tcPr>
          <w:p>
            <w:pPr>
              <w:spacing w:after="0"/>
              <w:rPr>
                <w:sz w:val="24"/>
                <w:szCs w:val="24"/>
                <w:color w:val="auto"/>
              </w:rPr>
            </w:pPr>
          </w:p>
        </w:tc>
        <w:tc>
          <w:tcPr>
            <w:tcW w:w="3900" w:type="dxa"/>
            <w:vAlign w:val="bottom"/>
          </w:tcPr>
          <w:p>
            <w:pPr>
              <w:jc w:val="center"/>
              <w:ind w:left="1630"/>
              <w:spacing w:after="0"/>
              <w:rPr>
                <w:sz w:val="20"/>
                <w:szCs w:val="20"/>
                <w:color w:val="auto"/>
              </w:rPr>
            </w:pPr>
            <w:r>
              <w:rPr>
                <w:rFonts w:ascii="Times New Roman" w:cs="Times New Roman" w:eastAsia="Times New Roman" w:hAnsi="Times New Roman"/>
                <w:sz w:val="18"/>
                <w:szCs w:val="18"/>
                <w:i w:val="1"/>
                <w:iCs w:val="1"/>
                <w:color w:val="auto"/>
              </w:rPr>
              <w:t>Lead Managers</w:t>
            </w: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59"/>
        </w:trPr>
        <w:tc>
          <w:tcPr>
            <w:tcW w:w="672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H.C. Wainwright &amp; Co.</w:t>
            </w:r>
          </w:p>
        </w:tc>
        <w:tc>
          <w:tcPr>
            <w:tcW w:w="940" w:type="dxa"/>
            <w:vAlign w:val="bottom"/>
          </w:tcPr>
          <w:p>
            <w:pPr>
              <w:spacing w:after="0"/>
              <w:rPr>
                <w:sz w:val="24"/>
                <w:szCs w:val="24"/>
                <w:color w:val="auto"/>
              </w:rPr>
            </w:pPr>
          </w:p>
        </w:tc>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Clear Street</w:t>
            </w:r>
          </w:p>
        </w:tc>
      </w:tr>
      <w:tr>
        <w:trPr>
          <w:trHeight w:val="432"/>
        </w:trPr>
        <w:tc>
          <w:tcPr>
            <w:tcW w:w="2820" w:type="dxa"/>
            <w:vAlign w:val="bottom"/>
          </w:tcPr>
          <w:p>
            <w:pPr>
              <w:spacing w:after="0"/>
              <w:rPr>
                <w:sz w:val="24"/>
                <w:szCs w:val="24"/>
                <w:color w:val="auto"/>
              </w:rPr>
            </w:pPr>
          </w:p>
        </w:tc>
        <w:tc>
          <w:tcPr>
            <w:tcW w:w="39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June 23, 2026</w:t>
            </w: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682"/>
        </w:trPr>
        <w:tc>
          <w:tcPr>
            <w:tcW w:w="28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lowerRoman"/>
      <w:start w:val="2"/>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o"/>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lowerRoman"/>
      <w:start w:val="2"/>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upperLetter"/>
      <w:start w:val="1"/>
    </w:lvl>
  </w:abstractNum>
  <w:abstractNum w:abstractNumId="12">
    <w:nsid w:val="4516DDE9"/>
    <w:multiLevelType w:val="hybridMultilevel"/>
    <w:lvl w:ilvl="0">
      <w:lvlJc w:val="left"/>
      <w:lvlText w:val="%1."/>
      <w:numFmt w:val="upperLetter"/>
      <w:start w:val="2"/>
    </w:lvl>
  </w:abstractNum>
  <w:abstractNum w:abstractNumId="13">
    <w:nsid w:val="3006C83E"/>
    <w:multiLevelType w:val="hybridMultilevel"/>
    <w:lvl w:ilvl="0">
      <w:lvlJc w:val="left"/>
      <w:lvlText w:val="%1."/>
      <w:numFmt w:val="upperLetter"/>
      <w:start w:val="1"/>
    </w:lvl>
  </w:abstractNum>
  <w:abstractNum w:abstractNumId="14">
    <w:nsid w:val="614FD4A1"/>
    <w:multiLevelType w:val="hybridMultilevel"/>
    <w:lvl w:ilvl="0">
      <w:lvlJc w:val="left"/>
      <w:lvlText w:val="(%1)"/>
      <w:numFmt w:val="lowerLetter"/>
      <w:start w:val="1"/>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lvl w:ilvl="1">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lowerRoman"/>
      <w:start w:val="2"/>
    </w:lvl>
    <w:lvl w:ilvl="1">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jpe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jpeg"/><Relationship Id="rId44" Type="http://schemas.openxmlformats.org/officeDocument/2006/relationships/hyperlink" Target="http://www.sec.gov/ix?doc=/Archives/edgar/data/0001821586/000182158626000002/mnlk-20251231.htm" TargetMode="External"/><Relationship Id="rId45" Type="http://schemas.openxmlformats.org/officeDocument/2006/relationships/hyperlink" Target="http://www.sec.gov/Archives/edgar/data/1821586/000114036126015916/ny20067252x1_def14a.htm" TargetMode="External"/><Relationship Id="rId46" Type="http://schemas.openxmlformats.org/officeDocument/2006/relationships/hyperlink" Target="http://www.sec.gov/ix?doc=/Archives/edgar/data/0001821586/000182158626000007/mnlk-20260331.htm" TargetMode="External"/><Relationship Id="rId47" Type="http://schemas.openxmlformats.org/officeDocument/2006/relationships/hyperlink" Target="http://www.sec.gov/ix?doc=/Archives/edgar/data/0001821586/000121390026002344/ea0272252-8k_moonlake.htm" TargetMode="External"/><Relationship Id="rId48" Type="http://schemas.openxmlformats.org/officeDocument/2006/relationships/hyperlink" Target="http://www.sec.gov/ix?doc=/Archives/edgar/data/0001821586/000121390026018967/ea0277910-8k_moonlake.htm" TargetMode="External"/><Relationship Id="rId49" Type="http://schemas.openxmlformats.org/officeDocument/2006/relationships/hyperlink" Target="http://www.sec.gov/ix?doc=/Archives/edgar/data/0001821586/000121390026063125/ea0292693-8k_moonlake.htm" TargetMode="External"/><Relationship Id="rId50" Type="http://schemas.openxmlformats.org/officeDocument/2006/relationships/hyperlink" Target="http://www.sec.gov/ix?doc=/Archives/edgar/data/0001821586/000121390026066821/ea0294064-8k_moonlake.htm" TargetMode="External"/><Relationship Id="rId51" Type="http://schemas.openxmlformats.org/officeDocument/2006/relationships/hyperlink" Target="http://www.sec.gov/ix?doc=/Archives/edgar/data/1821586/000121390026070362/ea0295399-8k_moonlake.htm" TargetMode="External"/><Relationship Id="rId52" Type="http://schemas.openxmlformats.org/officeDocument/2006/relationships/hyperlink" Target="http://www.sec.gov/Archives/edgar/data/1821586/000182158626000002/mltx-exhibit4111.htm" TargetMode="External"/><Relationship Id="rId53" Type="http://schemas.openxmlformats.org/officeDocument/2006/relationships/hyperlink" Target="http://www.sec.gov/ix?doc=/Archives/edgar/data/1821586/000182158626000002/mnlk-20251231.htm" TargetMode="External"/><Relationship Id="rId94" Type="http://schemas.openxmlformats.org/officeDocument/2006/relationships/hyperlink" Target="http://www.sec.gov/Archives/edgar/data/1821586/000182158623000007/mnlk-20221231.htm" TargetMode="External"/><Relationship Id="rId95" Type="http://schemas.openxmlformats.org/officeDocument/2006/relationships/hyperlink" Target="https://www.sec.gov/ix?doc=/Archives/edgar/data/0001821586/000182158623000012/mnlk-20230331.htm" TargetMode="External"/><Relationship Id="rId96" Type="http://schemas.openxmlformats.org/officeDocument/2006/relationships/hyperlink" Target="https://www.sec.gov/ix?doc=/Archives/edgar/data/0001821586/000182158623000015/mnlk-20230630.htm" TargetMode="External"/><Relationship Id="rId97" Type="http://schemas.openxmlformats.org/officeDocument/2006/relationships/hyperlink" Target="https://www.sec.gov/ix?doc=/Archives/edgar/data/0001821586/000121390023041556/ea178889-8k_moonlake.htm" TargetMode="External"/><Relationship Id="rId98" Type="http://schemas.openxmlformats.org/officeDocument/2006/relationships/hyperlink" Target="https://www.sec.gov/ix?doc=/Archives/edgar/data/0001821586/000121390023047184/ea179949-8k_moonlake.htm" TargetMode="External"/><Relationship Id="rId99" Type="http://schemas.openxmlformats.org/officeDocument/2006/relationships/hyperlink" Target="https://www.sec.gov/ix?doc=/Archives/edgar/data/0001821586/000162828023023905/mltx-20230627.htm" TargetMode="External"/><Relationship Id="rId100" Type="http://schemas.openxmlformats.org/officeDocument/2006/relationships/hyperlink" Target="https://www.sec.gov/Archives/edgar/data/1821586/000182158623000007/mltx_ex41tofy2022formxdes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2026-06-24T17:26:21Z</dcterms:created>
  <dcterms:modified xsi:type="dcterms:W3CDTF">2026-06-24T17:26:21Z</dcterms:modified>
</cp:coreProperties>
</file>