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290830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156210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2" w:lineRule="exact"/>
        <w:rPr>
          <w:sz w:val="24"/>
          <w:szCs w:val="24"/>
          <w:color w:val="auto"/>
        </w:rPr>
      </w:pPr>
    </w:p>
    <w:p>
      <w:pPr>
        <w:jc w:val="center"/>
        <w:ind w:left="4220" w:right="1960" w:hanging="2251"/>
        <w:spacing w:after="0" w:line="403" w:lineRule="auto"/>
        <w:tabs>
          <w:tab w:leader="none" w:pos="2129" w:val="left"/>
        </w:tabs>
        <w:numPr>
          <w:ilvl w:val="1"/>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March 31, 2026</w:t>
      </w:r>
    </w:p>
    <w:p>
      <w:pPr>
        <w:spacing w:after="0" w:line="30" w:lineRule="exact"/>
        <w:rPr>
          <w:rFonts w:ascii="MS PGothic" w:cs="MS PGothic" w:eastAsia="MS PGothic" w:hAnsi="MS PGothic"/>
          <w:sz w:val="14"/>
          <w:szCs w:val="14"/>
          <w:color w:val="auto"/>
          <w:highlight w:val="black"/>
        </w:rPr>
      </w:pPr>
    </w:p>
    <w:p>
      <w:pPr>
        <w:jc w:val="center"/>
        <w:ind w:left="4660" w:right="1960" w:hanging="2694"/>
        <w:spacing w:after="0" w:line="480" w:lineRule="auto"/>
        <w:tabs>
          <w:tab w:leader="none" w:pos="2133"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7060" w:type="dxa"/>
            <w:vAlign w:val="bottom"/>
            <w:gridSpan w:val="3"/>
          </w:tcPr>
          <w:p>
            <w:pPr>
              <w:jc w:val="center"/>
              <w:ind w:right="4103"/>
              <w:spacing w:after="0"/>
              <w:rPr>
                <w:sz w:val="20"/>
                <w:szCs w:val="20"/>
                <w:color w:val="auto"/>
              </w:rPr>
            </w:pPr>
            <w:r>
              <w:rPr>
                <w:rFonts w:ascii="Times New Roman" w:cs="Times New Roman" w:eastAsia="Times New Roman" w:hAnsi="Times New Roman"/>
                <w:sz w:val="14"/>
                <w:szCs w:val="14"/>
                <w:b w:val="1"/>
                <w:bCs w:val="1"/>
                <w:color w:val="auto"/>
              </w:rPr>
              <w:t>Commission file number: 001-39630</w:t>
            </w:r>
          </w:p>
        </w:tc>
      </w:tr>
      <w:tr>
        <w:trPr>
          <w:trHeight w:val="280"/>
        </w:trPr>
        <w:tc>
          <w:tcPr>
            <w:tcW w:w="4200" w:type="dxa"/>
            <w:vAlign w:val="bottom"/>
          </w:tcPr>
          <w:p>
            <w:pPr>
              <w:spacing w:after="0"/>
              <w:rPr>
                <w:sz w:val="24"/>
                <w:szCs w:val="24"/>
                <w:color w:val="auto"/>
              </w:rPr>
            </w:pPr>
          </w:p>
        </w:tc>
        <w:tc>
          <w:tcPr>
            <w:tcW w:w="7060" w:type="dxa"/>
            <w:vAlign w:val="bottom"/>
            <w:gridSpan w:val="3"/>
          </w:tcPr>
          <w:p>
            <w:pPr>
              <w:jc w:val="center"/>
              <w:ind w:right="4123"/>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tc>
      </w:tr>
      <w:tr>
        <w:trPr>
          <w:trHeight w:val="147"/>
        </w:trPr>
        <w:tc>
          <w:tcPr>
            <w:tcW w:w="4200" w:type="dxa"/>
            <w:vAlign w:val="bottom"/>
          </w:tcPr>
          <w:p>
            <w:pPr>
              <w:spacing w:after="0"/>
              <w:rPr>
                <w:sz w:val="12"/>
                <w:szCs w:val="12"/>
                <w:color w:val="auto"/>
              </w:rPr>
            </w:pPr>
          </w:p>
        </w:tc>
        <w:tc>
          <w:tcPr>
            <w:tcW w:w="7060" w:type="dxa"/>
            <w:vAlign w:val="bottom"/>
            <w:gridSpan w:val="3"/>
          </w:tcPr>
          <w:p>
            <w:pPr>
              <w:jc w:val="center"/>
              <w:ind w:right="4123"/>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tc>
      </w:tr>
      <w:tr>
        <w:trPr>
          <w:trHeight w:val="328"/>
        </w:trPr>
        <w:tc>
          <w:tcPr>
            <w:tcW w:w="4200" w:type="dxa"/>
            <w:vAlign w:val="bottom"/>
          </w:tcPr>
          <w:p>
            <w:pPr>
              <w:jc w:val="center"/>
              <w:ind w:left="1283"/>
              <w:spacing w:after="0"/>
              <w:rPr>
                <w:sz w:val="20"/>
                <w:szCs w:val="20"/>
                <w:color w:val="auto"/>
              </w:rPr>
            </w:pPr>
            <w:r>
              <w:rPr>
                <w:rFonts w:ascii="Times New Roman" w:cs="Times New Roman" w:eastAsia="Times New Roman" w:hAnsi="Times New Roman"/>
                <w:sz w:val="11"/>
                <w:szCs w:val="11"/>
                <w:b w:val="1"/>
                <w:bCs w:val="1"/>
                <w:color w:val="auto"/>
              </w:rPr>
              <w:t>Cayman Islands</w:t>
            </w:r>
          </w:p>
        </w:tc>
        <w:tc>
          <w:tcPr>
            <w:tcW w:w="7060" w:type="dxa"/>
            <w:vAlign w:val="bottom"/>
            <w:gridSpan w:val="3"/>
          </w:tcPr>
          <w:p>
            <w:pPr>
              <w:jc w:val="center"/>
              <w:ind w:left="1496"/>
              <w:spacing w:after="0"/>
              <w:rPr>
                <w:sz w:val="20"/>
                <w:szCs w:val="20"/>
                <w:color w:val="auto"/>
              </w:rPr>
            </w:pPr>
            <w:r>
              <w:rPr>
                <w:rFonts w:ascii="Times New Roman" w:cs="Times New Roman" w:eastAsia="Times New Roman" w:hAnsi="Times New Roman"/>
                <w:sz w:val="11"/>
                <w:szCs w:val="11"/>
                <w:b w:val="1"/>
                <w:bCs w:val="1"/>
                <w:color w:val="auto"/>
              </w:rPr>
              <w:t>98-1711963</w:t>
            </w:r>
          </w:p>
        </w:tc>
      </w:tr>
      <w:tr>
        <w:trPr>
          <w:trHeight w:val="161"/>
        </w:trPr>
        <w:tc>
          <w:tcPr>
            <w:tcW w:w="4200" w:type="dxa"/>
            <w:vAlign w:val="bottom"/>
            <w:tcBorders>
              <w:top w:val="single" w:sz="8" w:color="auto"/>
            </w:tcBorders>
          </w:tcPr>
          <w:p>
            <w:pPr>
              <w:ind w:left="136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13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297"/>
        </w:trPr>
        <w:tc>
          <w:tcPr>
            <w:tcW w:w="4200" w:type="dxa"/>
            <w:vAlign w:val="bottom"/>
          </w:tcPr>
          <w:p>
            <w:pPr>
              <w:jc w:val="center"/>
              <w:ind w:left="1283"/>
              <w:spacing w:after="0"/>
              <w:rPr>
                <w:sz w:val="20"/>
                <w:szCs w:val="20"/>
                <w:color w:val="auto"/>
              </w:rPr>
            </w:pPr>
            <w:r>
              <w:rPr>
                <w:rFonts w:ascii="Times New Roman" w:cs="Times New Roman" w:eastAsia="Times New Roman" w:hAnsi="Times New Roman"/>
                <w:sz w:val="11"/>
                <w:szCs w:val="11"/>
                <w:b w:val="1"/>
                <w:bCs w:val="1"/>
                <w:color w:val="auto"/>
              </w:rPr>
              <w:t>Dorfstrasse 29</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180"/>
        </w:trPr>
        <w:tc>
          <w:tcPr>
            <w:tcW w:w="4200" w:type="dxa"/>
            <w:vAlign w:val="bottom"/>
          </w:tcPr>
          <w:p>
            <w:pPr>
              <w:jc w:val="center"/>
              <w:ind w:left="1263"/>
              <w:spacing w:after="0"/>
              <w:rPr>
                <w:sz w:val="20"/>
                <w:szCs w:val="20"/>
                <w:color w:val="auto"/>
              </w:rPr>
            </w:pPr>
            <w:r>
              <w:rPr>
                <w:rFonts w:ascii="Times New Roman" w:cs="Times New Roman" w:eastAsia="Times New Roman" w:hAnsi="Times New Roman"/>
                <w:sz w:val="11"/>
                <w:szCs w:val="11"/>
                <w:b w:val="1"/>
                <w:bCs w:val="1"/>
                <w:color w:val="auto"/>
              </w:rPr>
              <w:t>6300 Zug</w:t>
            </w: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520" w:type="dxa"/>
            <w:vAlign w:val="bottom"/>
          </w:tcPr>
          <w:p>
            <w:pPr>
              <w:spacing w:after="0"/>
              <w:rPr>
                <w:sz w:val="15"/>
                <w:szCs w:val="15"/>
                <w:color w:val="auto"/>
              </w:rPr>
            </w:pPr>
          </w:p>
        </w:tc>
      </w:tr>
      <w:tr>
        <w:trPr>
          <w:trHeight w:val="190"/>
        </w:trPr>
        <w:tc>
          <w:tcPr>
            <w:tcW w:w="4200" w:type="dxa"/>
            <w:vAlign w:val="bottom"/>
            <w:tcBorders>
              <w:bottom w:val="single" w:sz="8" w:color="auto"/>
            </w:tcBorders>
          </w:tcPr>
          <w:p>
            <w:pPr>
              <w:jc w:val="center"/>
              <w:ind w:left="1283"/>
              <w:spacing w:after="0"/>
              <w:rPr>
                <w:sz w:val="20"/>
                <w:szCs w:val="20"/>
                <w:color w:val="auto"/>
              </w:rPr>
            </w:pPr>
            <w:r>
              <w:rPr>
                <w:rFonts w:ascii="Times New Roman" w:cs="Times New Roman" w:eastAsia="Times New Roman" w:hAnsi="Times New Roman"/>
                <w:sz w:val="11"/>
                <w:szCs w:val="11"/>
                <w:b w:val="1"/>
                <w:bCs w:val="1"/>
                <w:color w:val="auto"/>
              </w:rPr>
              <w:t>Switzerland</w:t>
            </w:r>
          </w:p>
        </w:tc>
        <w:tc>
          <w:tcPr>
            <w:tcW w:w="13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w:t>
            </w:r>
          </w:p>
        </w:tc>
      </w:tr>
      <w:tr>
        <w:trPr>
          <w:trHeight w:val="161"/>
        </w:trPr>
        <w:tc>
          <w:tcPr>
            <w:tcW w:w="4200" w:type="dxa"/>
            <w:vAlign w:val="bottom"/>
          </w:tcPr>
          <w:p>
            <w:pPr>
              <w:jc w:val="center"/>
              <w:ind w:left="1263"/>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(ZIP Code)</w:t>
            </w:r>
          </w:p>
        </w:tc>
      </w:tr>
    </w:tbl>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41 415108022</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(Former name, former address and former fiscal year, if changed since last report)</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7"/>
        </w:trPr>
        <w:tc>
          <w:tcPr>
            <w:tcW w:w="38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40" w:type="dxa"/>
            <w:vAlign w:val="bottom"/>
          </w:tcPr>
          <w:p>
            <w:pPr>
              <w:spacing w:after="0"/>
              <w:rPr>
                <w:sz w:val="12"/>
                <w:szCs w:val="12"/>
                <w:color w:val="auto"/>
              </w:rPr>
            </w:pPr>
          </w:p>
        </w:tc>
      </w:tr>
      <w:tr>
        <w:trPr>
          <w:trHeight w:val="115"/>
        </w:trPr>
        <w:tc>
          <w:tcPr>
            <w:tcW w:w="3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40" w:type="dxa"/>
            <w:vAlign w:val="bottom"/>
          </w:tcPr>
          <w:p>
            <w:pPr>
              <w:spacing w:after="0"/>
              <w:rPr>
                <w:sz w:val="9"/>
                <w:szCs w:val="9"/>
                <w:color w:val="auto"/>
              </w:rPr>
            </w:pPr>
          </w:p>
        </w:tc>
      </w:tr>
      <w:tr>
        <w:trPr>
          <w:trHeight w:val="171"/>
        </w:trPr>
        <w:tc>
          <w:tcPr>
            <w:tcW w:w="3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60" w:type="dxa"/>
            <w:vAlign w:val="bottom"/>
            <w:shd w:val="clear" w:color="auto" w:fill="CCEEFF"/>
          </w:tcPr>
          <w:p>
            <w:pPr>
              <w:spacing w:after="0"/>
              <w:rPr>
                <w:sz w:val="14"/>
                <w:szCs w:val="14"/>
                <w:color w:val="auto"/>
              </w:rPr>
            </w:pPr>
          </w:p>
        </w:tc>
        <w:tc>
          <w:tcPr>
            <w:tcW w:w="3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160" w:type="dxa"/>
            <w:vAlign w:val="bottom"/>
            <w:shd w:val="clear" w:color="auto" w:fill="CCEEFF"/>
          </w:tcPr>
          <w:p>
            <w:pPr>
              <w:spacing w:after="0"/>
              <w:rPr>
                <w:sz w:val="14"/>
                <w:szCs w:val="14"/>
                <w:color w:val="auto"/>
              </w:rPr>
            </w:pPr>
          </w:p>
        </w:tc>
        <w:tc>
          <w:tcPr>
            <w:tcW w:w="3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61"/>
        </w:trPr>
        <w:tc>
          <w:tcPr>
            <w:tcW w:w="38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rPr>
              <w:t>Class A Ordinary Share, par value $0.0001 per share</w:t>
            </w:r>
          </w:p>
        </w:tc>
        <w:tc>
          <w:tcPr>
            <w:tcW w:w="38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MLTX</w:t>
            </w:r>
          </w:p>
        </w:tc>
        <w:tc>
          <w:tcPr>
            <w:tcW w:w="3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The Nasdaq Capital Market</w:t>
            </w:r>
          </w:p>
        </w:tc>
      </w:tr>
    </w:tbl>
    <w:p>
      <w:pPr>
        <w:spacing w:after="0" w:line="203" w:lineRule="exact"/>
        <w:rPr>
          <w:sz w:val="24"/>
          <w:szCs w:val="24"/>
          <w:color w:val="auto"/>
        </w:rPr>
      </w:pPr>
    </w:p>
    <w:p>
      <w:pPr>
        <w:ind w:firstLine="5"/>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01" w:lineRule="exact"/>
        <w:rPr>
          <w:sz w:val="24"/>
          <w:szCs w:val="24"/>
          <w:color w:val="auto"/>
        </w:rPr>
      </w:pPr>
    </w:p>
    <w:p>
      <w:pPr>
        <w:ind w:firstLine="5"/>
        <w:spacing w:after="0" w:line="152"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01" w:lineRule="exact"/>
        <w:rPr>
          <w:sz w:val="24"/>
          <w:szCs w:val="24"/>
          <w:color w:val="auto"/>
        </w:rPr>
      </w:pPr>
    </w:p>
    <w:p>
      <w:pPr>
        <w:ind w:firstLine="5"/>
        <w:spacing w:after="0" w:line="30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80"/>
          </w:cols>
          <w:pgMar w:left="300" w:top="781" w:right="319" w:bottom="1440" w:gutter="0" w:footer="0" w:header="0"/>
        </w:sectPr>
      </w:pPr>
    </w:p>
    <w:p>
      <w:pPr>
        <w:spacing w:after="0" w:line="50" w:lineRule="exact"/>
        <w:rPr>
          <w:sz w:val="24"/>
          <w:szCs w:val="24"/>
          <w:color w:val="auto"/>
        </w:rPr>
      </w:pPr>
    </w:p>
    <w:p>
      <w:pPr>
        <w:spacing w:after="0" w:line="127" w:lineRule="exact"/>
        <w:tabs>
          <w:tab w:leader="none" w:pos="1140" w:val="left"/>
          <w:tab w:leader="none" w:pos="1820" w:val="left"/>
          <w:tab w:leader="none" w:pos="2800" w:val="left"/>
        </w:tabs>
        <w:rPr>
          <w:sz w:val="20"/>
          <w:szCs w:val="20"/>
          <w:color w:val="auto"/>
        </w:rPr>
      </w:pPr>
      <w:r>
        <w:rPr>
          <w:rFonts w:ascii="Times New Roman" w:cs="Times New Roman" w:eastAsia="Times New Roman" w:hAnsi="Times New Roman"/>
          <w:sz w:val="11"/>
          <w:szCs w:val="11"/>
          <w:color w:val="auto"/>
        </w:rPr>
        <w:t>Large 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Accelerated filer</w:t>
      </w:r>
      <w:r>
        <w:rPr>
          <w:sz w:val="20"/>
          <w:szCs w:val="20"/>
          <w:color w:val="auto"/>
        </w:rPr>
        <w:tab/>
      </w:r>
      <w:r>
        <w:rPr>
          <w:rFonts w:ascii="MS PGothic" w:cs="MS PGothic" w:eastAsia="MS PGothic" w:hAnsi="MS PGothic"/>
          <w:sz w:val="10"/>
          <w:szCs w:val="10"/>
          <w:color w:val="auto"/>
        </w:rPr>
        <w:t>☐</w:t>
      </w:r>
    </w:p>
    <w:p>
      <w:pPr>
        <w:spacing w:after="0" w:line="50" w:lineRule="exact"/>
        <w:rPr>
          <w:sz w:val="24"/>
          <w:szCs w:val="24"/>
          <w:color w:val="auto"/>
        </w:rPr>
      </w:pPr>
    </w:p>
    <w:p>
      <w:pPr>
        <w:spacing w:after="0" w:line="127" w:lineRule="exact"/>
        <w:tabs>
          <w:tab w:leader="none" w:pos="1160" w:val="left"/>
          <w:tab w:leader="none" w:pos="1840" w:val="left"/>
        </w:tabs>
        <w:rPr>
          <w:sz w:val="20"/>
          <w:szCs w:val="20"/>
          <w:color w:val="auto"/>
        </w:rPr>
      </w:pPr>
      <w:r>
        <w:rPr>
          <w:rFonts w:ascii="Times New Roman" w:cs="Times New Roman" w:eastAsia="Times New Roman" w:hAnsi="Times New Roman"/>
          <w:sz w:val="11"/>
          <w:szCs w:val="11"/>
          <w:color w:val="auto"/>
        </w:rPr>
        <w:t>Non-accelerated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Smaller reporting company</w:t>
      </w:r>
    </w:p>
    <w:p>
      <w:pPr>
        <w:spacing w:after="0" w:line="11" w:lineRule="exact"/>
        <w:rPr>
          <w:sz w:val="24"/>
          <w:szCs w:val="24"/>
          <w:color w:val="auto"/>
        </w:rPr>
      </w:pPr>
    </w:p>
    <w:p>
      <w:pPr>
        <w:ind w:left="900"/>
        <w:spacing w:after="0" w:line="127" w:lineRule="exact"/>
        <w:tabs>
          <w:tab w:leader="none" w:pos="2240" w:val="left"/>
        </w:tabs>
        <w:rPr>
          <w:sz w:val="20"/>
          <w:szCs w:val="20"/>
          <w:color w:val="auto"/>
        </w:rPr>
      </w:pPr>
      <w:r>
        <w:rPr>
          <w:rFonts w:ascii="Times New Roman" w:cs="Times New Roman" w:eastAsia="Times New Roman" w:hAnsi="Times New Roman"/>
          <w:sz w:val="11"/>
          <w:szCs w:val="11"/>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319" w:lineRule="exact"/>
        <w:rPr>
          <w:sz w:val="24"/>
          <w:szCs w:val="24"/>
          <w:color w:val="auto"/>
        </w:rPr>
      </w:pPr>
    </w:p>
    <w:p>
      <w:pPr>
        <w:sectPr>
          <w:pgSz w:w="11900" w:h="16838" w:orient="portrait"/>
          <w:cols w:equalWidth="0" w:num="2">
            <w:col w:w="3100" w:space="100"/>
            <w:col w:w="8080"/>
          </w:cols>
          <w:pgMar w:left="300" w:top="781" w:right="319" w:bottom="1440" w:gutter="0" w:footer="0" w:header="0"/>
          <w:type w:val="continuous"/>
        </w:sectPr>
      </w:pPr>
    </w:p>
    <w:p>
      <w:pPr>
        <w:ind w:firstLine="5"/>
        <w:spacing w:after="0" w:line="152"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15"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As of May 1, 2026, there were 73,615,396 of the registrant's Class A Ordinary Shares, $0.0001 par value (the “Class A Ordinary Shares”)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416560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220345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85725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81"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10-Q FOR THE QUARTER ENDED MARCH 31, 2026</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shd w:val="clear" w:color="auto" w:fill="CCEEFF"/>
          </w:tcPr>
          <w:p>
            <w:pPr>
              <w:spacing w:after="0"/>
              <w:rPr>
                <w:sz w:val="13"/>
                <w:szCs w:val="13"/>
                <w:color w:val="auto"/>
              </w:rPr>
            </w:pPr>
          </w:p>
        </w:tc>
        <w:tc>
          <w:tcPr>
            <w:tcW w:w="22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3051F2"/>
                <w:w w:val="99"/>
              </w:rPr>
              <w:t>PART I. FINANCIAL INFORMATION</w:t>
            </w:r>
          </w:p>
        </w:tc>
        <w:tc>
          <w:tcPr>
            <w:tcW w:w="6080" w:type="dxa"/>
            <w:vAlign w:val="bottom"/>
            <w:gridSpan w:val="11"/>
            <w:shd w:val="clear" w:color="auto" w:fill="CCEEFF"/>
          </w:tcPr>
          <w:p>
            <w:pPr>
              <w:spacing w:after="0"/>
              <w:rPr>
                <w:sz w:val="13"/>
                <w:szCs w:val="13"/>
                <w:color w:val="auto"/>
              </w:rPr>
            </w:pPr>
          </w:p>
        </w:tc>
        <w:tc>
          <w:tcPr>
            <w:tcW w:w="2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3051F2"/>
              </w:rPr>
              <w:t>2</w:t>
            </w:r>
          </w:p>
        </w:tc>
      </w:tr>
      <w:tr>
        <w:trPr>
          <w:trHeight w:val="44"/>
        </w:trPr>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3051F2"/>
            </w:tcBorders>
            <w:shd w:val="clear" w:color="auto" w:fill="CCEEFF"/>
          </w:tcPr>
          <w:p>
            <w:pPr>
              <w:spacing w:after="0"/>
              <w:rPr>
                <w:sz w:val="3"/>
                <w:szCs w:val="3"/>
                <w:color w:val="auto"/>
              </w:rPr>
            </w:pPr>
          </w:p>
        </w:tc>
        <w:tc>
          <w:tcPr>
            <w:tcW w:w="440" w:type="dxa"/>
            <w:vAlign w:val="bottom"/>
            <w:tcBorders>
              <w:top w:val="single" w:sz="8" w:color="3051F2"/>
            </w:tcBorders>
            <w:shd w:val="clear" w:color="auto" w:fill="CCEEFF"/>
          </w:tcPr>
          <w:p>
            <w:pPr>
              <w:spacing w:after="0"/>
              <w:rPr>
                <w:sz w:val="3"/>
                <w:szCs w:val="3"/>
                <w:color w:val="auto"/>
              </w:rPr>
            </w:pPr>
          </w:p>
        </w:tc>
        <w:tc>
          <w:tcPr>
            <w:tcW w:w="260" w:type="dxa"/>
            <w:vAlign w:val="bottom"/>
            <w:tcBorders>
              <w:top w:val="single" w:sz="8" w:color="3051F2"/>
            </w:tcBorders>
            <w:shd w:val="clear" w:color="auto" w:fill="CCEEFF"/>
          </w:tcPr>
          <w:p>
            <w:pPr>
              <w:spacing w:after="0"/>
              <w:rPr>
                <w:sz w:val="3"/>
                <w:szCs w:val="3"/>
                <w:color w:val="auto"/>
              </w:rPr>
            </w:pPr>
          </w:p>
        </w:tc>
        <w:tc>
          <w:tcPr>
            <w:tcW w:w="200" w:type="dxa"/>
            <w:vAlign w:val="bottom"/>
            <w:tcBorders>
              <w:top w:val="single" w:sz="8" w:color="3051F2"/>
            </w:tcBorders>
            <w:shd w:val="clear" w:color="auto" w:fill="CCEEFF"/>
          </w:tcPr>
          <w:p>
            <w:pPr>
              <w:spacing w:after="0"/>
              <w:rPr>
                <w:sz w:val="3"/>
                <w:szCs w:val="3"/>
                <w:color w:val="auto"/>
              </w:rPr>
            </w:pPr>
          </w:p>
        </w:tc>
        <w:tc>
          <w:tcPr>
            <w:tcW w:w="340" w:type="dxa"/>
            <w:vAlign w:val="bottom"/>
            <w:tcBorders>
              <w:top w:val="single" w:sz="8" w:color="3051F2"/>
            </w:tcBorders>
            <w:shd w:val="clear" w:color="auto" w:fill="CCEEFF"/>
          </w:tcPr>
          <w:p>
            <w:pPr>
              <w:spacing w:after="0"/>
              <w:rPr>
                <w:sz w:val="3"/>
                <w:szCs w:val="3"/>
                <w:color w:val="auto"/>
              </w:rPr>
            </w:pPr>
          </w:p>
        </w:tc>
        <w:tc>
          <w:tcPr>
            <w:tcW w:w="22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3051F2"/>
            </w:tcBorders>
            <w:shd w:val="clear" w:color="auto" w:fill="CCEEFF"/>
          </w:tcPr>
          <w:p>
            <w:pPr>
              <w:spacing w:after="0"/>
              <w:rPr>
                <w:sz w:val="3"/>
                <w:szCs w:val="3"/>
                <w:color w:val="auto"/>
              </w:rPr>
            </w:pPr>
          </w:p>
        </w:tc>
        <w:tc>
          <w:tcPr>
            <w:tcW w:w="34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3051F2"/>
            </w:tcBorders>
            <w:shd w:val="clear" w:color="auto" w:fill="CCEEFF"/>
          </w:tcPr>
          <w:p>
            <w:pPr>
              <w:spacing w:after="0"/>
              <w:rPr>
                <w:sz w:val="3"/>
                <w:szCs w:val="3"/>
                <w:color w:val="auto"/>
              </w:rPr>
            </w:pPr>
          </w:p>
        </w:tc>
        <w:tc>
          <w:tcPr>
            <w:tcW w:w="260" w:type="dxa"/>
            <w:vAlign w:val="bottom"/>
            <w:tcBorders>
              <w:top w:val="single" w:sz="8" w:color="3051F2"/>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680" w:type="dxa"/>
            <w:vAlign w:val="bottom"/>
            <w:tcBorders>
              <w:top w:val="single" w:sz="8" w:color="CCEEFF"/>
            </w:tcBorders>
            <w:shd w:val="clear" w:color="auto" w:fill="CCEEFF"/>
          </w:tcPr>
          <w:p>
            <w:pPr>
              <w:spacing w:after="0"/>
              <w:rPr>
                <w:sz w:val="3"/>
                <w:szCs w:val="3"/>
                <w:color w:val="auto"/>
              </w:rPr>
            </w:pPr>
          </w:p>
        </w:tc>
        <w:tc>
          <w:tcPr>
            <w:tcW w:w="26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59"/>
        </w:trPr>
        <w:tc>
          <w:tcPr>
            <w:tcW w:w="100" w:type="dxa"/>
            <w:vAlign w:val="bottom"/>
          </w:tcPr>
          <w:p>
            <w:pPr>
              <w:spacing w:after="0"/>
              <w:rPr>
                <w:sz w:val="13"/>
                <w:szCs w:val="13"/>
                <w:color w:val="auto"/>
              </w:rPr>
            </w:pPr>
          </w:p>
        </w:tc>
        <w:tc>
          <w:tcPr>
            <w:tcW w:w="8360" w:type="dxa"/>
            <w:vAlign w:val="bottom"/>
            <w:gridSpan w:val="21"/>
          </w:tcPr>
          <w:p>
            <w:pPr>
              <w:ind w:left="180"/>
              <w:spacing w:after="0" w:line="159" w:lineRule="exact"/>
              <w:rPr>
                <w:sz w:val="20"/>
                <w:szCs w:val="20"/>
                <w:color w:val="auto"/>
              </w:rPr>
            </w:pPr>
            <w:r>
              <w:rPr>
                <w:rFonts w:ascii="Times New Roman" w:cs="Times New Roman" w:eastAsia="Times New Roman" w:hAnsi="Times New Roman"/>
                <w:sz w:val="14"/>
                <w:szCs w:val="14"/>
                <w:color w:val="3051F2"/>
              </w:rPr>
              <w:t>Item 1. Financial Statements (Unaudited)</w:t>
            </w:r>
          </w:p>
        </w:tc>
        <w:tc>
          <w:tcPr>
            <w:tcW w:w="2820" w:type="dxa"/>
            <w:vAlign w:val="bottom"/>
            <w:gridSpan w:val="4"/>
          </w:tcPr>
          <w:p>
            <w:pPr>
              <w:jc w:val="right"/>
              <w:ind w:right="20"/>
              <w:spacing w:after="0" w:line="159" w:lineRule="exact"/>
              <w:rPr>
                <w:sz w:val="20"/>
                <w:szCs w:val="20"/>
                <w:color w:val="auto"/>
              </w:rPr>
            </w:pPr>
            <w:r>
              <w:rPr>
                <w:rFonts w:ascii="Times New Roman" w:cs="Times New Roman" w:eastAsia="Times New Roman" w:hAnsi="Times New Roman"/>
                <w:sz w:val="14"/>
                <w:szCs w:val="14"/>
                <w:color w:val="3051F2"/>
              </w:rPr>
              <w:t>2</w:t>
            </w:r>
          </w:p>
        </w:tc>
      </w:tr>
      <w:tr>
        <w:trPr>
          <w:trHeight w:val="44"/>
        </w:trPr>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Borders>
              <w:top w:val="single" w:sz="8" w:color="3051F2"/>
            </w:tcBorders>
          </w:tcPr>
          <w:p>
            <w:pPr>
              <w:spacing w:after="0"/>
              <w:rPr>
                <w:sz w:val="3"/>
                <w:szCs w:val="3"/>
                <w:color w:val="auto"/>
              </w:rPr>
            </w:pPr>
          </w:p>
        </w:tc>
        <w:tc>
          <w:tcPr>
            <w:tcW w:w="260" w:type="dxa"/>
            <w:vAlign w:val="bottom"/>
            <w:tcBorders>
              <w:top w:val="single" w:sz="8" w:color="3051F2"/>
            </w:tcBorders>
          </w:tcPr>
          <w:p>
            <w:pPr>
              <w:spacing w:after="0"/>
              <w:rPr>
                <w:sz w:val="3"/>
                <w:szCs w:val="3"/>
                <w:color w:val="auto"/>
              </w:rPr>
            </w:pPr>
          </w:p>
        </w:tc>
        <w:tc>
          <w:tcPr>
            <w:tcW w:w="200" w:type="dxa"/>
            <w:vAlign w:val="bottom"/>
            <w:tcBorders>
              <w:top w:val="single" w:sz="8" w:color="3051F2"/>
            </w:tcBorders>
          </w:tcPr>
          <w:p>
            <w:pPr>
              <w:spacing w:after="0"/>
              <w:rPr>
                <w:sz w:val="3"/>
                <w:szCs w:val="3"/>
                <w:color w:val="auto"/>
              </w:rPr>
            </w:pPr>
          </w:p>
        </w:tc>
        <w:tc>
          <w:tcPr>
            <w:tcW w:w="340" w:type="dxa"/>
            <w:vAlign w:val="bottom"/>
            <w:tcBorders>
              <w:top w:val="single" w:sz="8" w:color="3051F2"/>
            </w:tcBorders>
          </w:tcPr>
          <w:p>
            <w:pPr>
              <w:spacing w:after="0"/>
              <w:rPr>
                <w:sz w:val="3"/>
                <w:szCs w:val="3"/>
                <w:color w:val="auto"/>
              </w:rPr>
            </w:pPr>
          </w:p>
        </w:tc>
        <w:tc>
          <w:tcPr>
            <w:tcW w:w="220" w:type="dxa"/>
            <w:vAlign w:val="bottom"/>
            <w:tcBorders>
              <w:top w:val="single" w:sz="8" w:color="3051F2"/>
            </w:tcBorders>
          </w:tcPr>
          <w:p>
            <w:pPr>
              <w:spacing w:after="0"/>
              <w:rPr>
                <w:sz w:val="3"/>
                <w:szCs w:val="3"/>
                <w:color w:val="auto"/>
              </w:rPr>
            </w:pPr>
          </w:p>
        </w:tc>
        <w:tc>
          <w:tcPr>
            <w:tcW w:w="20" w:type="dxa"/>
            <w:vAlign w:val="bottom"/>
            <w:tcBorders>
              <w:top w:val="single" w:sz="8" w:color="3051F2"/>
            </w:tcBorders>
          </w:tcPr>
          <w:p>
            <w:pPr>
              <w:spacing w:after="0"/>
              <w:rPr>
                <w:sz w:val="3"/>
                <w:szCs w:val="3"/>
                <w:color w:val="auto"/>
              </w:rPr>
            </w:pPr>
          </w:p>
        </w:tc>
        <w:tc>
          <w:tcPr>
            <w:tcW w:w="340" w:type="dxa"/>
            <w:vAlign w:val="bottom"/>
            <w:tcBorders>
              <w:top w:val="single" w:sz="8" w:color="3051F2"/>
            </w:tcBorders>
          </w:tcPr>
          <w:p>
            <w:pPr>
              <w:spacing w:after="0"/>
              <w:rPr>
                <w:sz w:val="3"/>
                <w:szCs w:val="3"/>
                <w:color w:val="auto"/>
              </w:rPr>
            </w:pPr>
          </w:p>
        </w:tc>
        <w:tc>
          <w:tcPr>
            <w:tcW w:w="20" w:type="dxa"/>
            <w:vAlign w:val="bottom"/>
            <w:tcBorders>
              <w:top w:val="single" w:sz="8" w:color="3051F2"/>
            </w:tcBorders>
          </w:tcPr>
          <w:p>
            <w:pPr>
              <w:spacing w:after="0"/>
              <w:rPr>
                <w:sz w:val="3"/>
                <w:szCs w:val="3"/>
                <w:color w:val="auto"/>
              </w:rPr>
            </w:pPr>
          </w:p>
        </w:tc>
        <w:tc>
          <w:tcPr>
            <w:tcW w:w="260" w:type="dxa"/>
            <w:vAlign w:val="bottom"/>
            <w:tcBorders>
              <w:top w:val="single" w:sz="8" w:color="3051F2"/>
            </w:tcBorders>
          </w:tcPr>
          <w:p>
            <w:pPr>
              <w:spacing w:after="0"/>
              <w:rPr>
                <w:sz w:val="3"/>
                <w:szCs w:val="3"/>
                <w:color w:val="auto"/>
              </w:rPr>
            </w:pPr>
          </w:p>
        </w:tc>
        <w:tc>
          <w:tcPr>
            <w:tcW w:w="160" w:type="dxa"/>
            <w:vAlign w:val="bottom"/>
            <w:tcBorders>
              <w:top w:val="single" w:sz="8" w:color="3051F2"/>
            </w:tcBorders>
          </w:tcPr>
          <w:p>
            <w:pPr>
              <w:spacing w:after="0"/>
              <w:rPr>
                <w:sz w:val="3"/>
                <w:szCs w:val="3"/>
                <w:color w:val="auto"/>
              </w:rPr>
            </w:pPr>
          </w:p>
        </w:tc>
        <w:tc>
          <w:tcPr>
            <w:tcW w:w="80" w:type="dxa"/>
            <w:vAlign w:val="bottom"/>
            <w:tcBorders>
              <w:top w:val="single" w:sz="8" w:color="3051F2"/>
            </w:tcBorders>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top w:val="single" w:sz="8" w:color="3051F2"/>
            </w:tcBorders>
          </w:tcPr>
          <w:p>
            <w:pPr>
              <w:spacing w:after="0"/>
              <w:rPr>
                <w:sz w:val="3"/>
                <w:szCs w:val="3"/>
                <w:color w:val="auto"/>
              </w:rPr>
            </w:pPr>
          </w:p>
        </w:tc>
        <w:tc>
          <w:tcPr>
            <w:tcW w:w="20" w:type="dxa"/>
            <w:vAlign w:val="bottom"/>
          </w:tcPr>
          <w:p>
            <w:pPr>
              <w:spacing w:after="0"/>
              <w:rPr>
                <w:sz w:val="3"/>
                <w:szCs w:val="3"/>
                <w:color w:val="auto"/>
              </w:rPr>
            </w:pPr>
          </w:p>
        </w:tc>
      </w:tr>
      <w:tr>
        <w:trPr>
          <w:trHeight w:val="159"/>
        </w:trPr>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300" w:type="dxa"/>
            <w:vAlign w:val="bottom"/>
            <w:gridSpan w:val="11"/>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3051F2"/>
                <w:w w:val="99"/>
              </w:rPr>
              <w:t>Condensed Consolidated Balance Sheets</w:t>
            </w:r>
          </w:p>
        </w:tc>
        <w:tc>
          <w:tcPr>
            <w:tcW w:w="5440" w:type="dxa"/>
            <w:vAlign w:val="bottom"/>
            <w:gridSpan w:val="8"/>
            <w:shd w:val="clear" w:color="auto" w:fill="CCEEFF"/>
          </w:tcPr>
          <w:p>
            <w:pPr>
              <w:spacing w:after="0"/>
              <w:rPr>
                <w:sz w:val="13"/>
                <w:szCs w:val="13"/>
                <w:color w:val="auto"/>
              </w:rPr>
            </w:pPr>
          </w:p>
        </w:tc>
        <w:tc>
          <w:tcPr>
            <w:tcW w:w="2820" w:type="dxa"/>
            <w:vAlign w:val="bottom"/>
            <w:gridSpan w:val="4"/>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4"/>
                <w:szCs w:val="14"/>
                <w:color w:val="3051F2"/>
              </w:rPr>
              <w:t>2</w:t>
            </w:r>
          </w:p>
        </w:tc>
      </w:tr>
      <w:tr>
        <w:trPr>
          <w:trHeight w:val="44"/>
        </w:trPr>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3051F2"/>
            </w:tcBorders>
            <w:shd w:val="clear" w:color="auto" w:fill="CCEEFF"/>
          </w:tcPr>
          <w:p>
            <w:pPr>
              <w:spacing w:after="0"/>
              <w:rPr>
                <w:sz w:val="3"/>
                <w:szCs w:val="3"/>
                <w:color w:val="auto"/>
              </w:rPr>
            </w:pPr>
          </w:p>
        </w:tc>
        <w:tc>
          <w:tcPr>
            <w:tcW w:w="200" w:type="dxa"/>
            <w:vAlign w:val="bottom"/>
            <w:tcBorders>
              <w:top w:val="single" w:sz="8" w:color="3051F2"/>
            </w:tcBorders>
            <w:shd w:val="clear" w:color="auto" w:fill="CCEEFF"/>
          </w:tcPr>
          <w:p>
            <w:pPr>
              <w:spacing w:after="0"/>
              <w:rPr>
                <w:sz w:val="3"/>
                <w:szCs w:val="3"/>
                <w:color w:val="auto"/>
              </w:rPr>
            </w:pPr>
          </w:p>
        </w:tc>
        <w:tc>
          <w:tcPr>
            <w:tcW w:w="340" w:type="dxa"/>
            <w:vAlign w:val="bottom"/>
            <w:tcBorders>
              <w:top w:val="single" w:sz="8" w:color="3051F2"/>
            </w:tcBorders>
            <w:shd w:val="clear" w:color="auto" w:fill="CCEEFF"/>
          </w:tcPr>
          <w:p>
            <w:pPr>
              <w:spacing w:after="0"/>
              <w:rPr>
                <w:sz w:val="3"/>
                <w:szCs w:val="3"/>
                <w:color w:val="auto"/>
              </w:rPr>
            </w:pPr>
          </w:p>
        </w:tc>
        <w:tc>
          <w:tcPr>
            <w:tcW w:w="22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3051F2"/>
            </w:tcBorders>
            <w:shd w:val="clear" w:color="auto" w:fill="CCEEFF"/>
          </w:tcPr>
          <w:p>
            <w:pPr>
              <w:spacing w:after="0"/>
              <w:rPr>
                <w:sz w:val="3"/>
                <w:szCs w:val="3"/>
                <w:color w:val="auto"/>
              </w:rPr>
            </w:pPr>
          </w:p>
        </w:tc>
        <w:tc>
          <w:tcPr>
            <w:tcW w:w="34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3051F2"/>
            </w:tcBorders>
            <w:shd w:val="clear" w:color="auto" w:fill="CCEEFF"/>
          </w:tcPr>
          <w:p>
            <w:pPr>
              <w:spacing w:after="0"/>
              <w:rPr>
                <w:sz w:val="3"/>
                <w:szCs w:val="3"/>
                <w:color w:val="auto"/>
              </w:rPr>
            </w:pPr>
          </w:p>
        </w:tc>
        <w:tc>
          <w:tcPr>
            <w:tcW w:w="260" w:type="dxa"/>
            <w:vAlign w:val="bottom"/>
            <w:tcBorders>
              <w:top w:val="single" w:sz="8" w:color="3051F2"/>
            </w:tcBorders>
            <w:shd w:val="clear" w:color="auto" w:fill="CCEEFF"/>
          </w:tcPr>
          <w:p>
            <w:pPr>
              <w:spacing w:after="0"/>
              <w:rPr>
                <w:sz w:val="3"/>
                <w:szCs w:val="3"/>
                <w:color w:val="auto"/>
              </w:rPr>
            </w:pPr>
          </w:p>
        </w:tc>
        <w:tc>
          <w:tcPr>
            <w:tcW w:w="160" w:type="dxa"/>
            <w:vAlign w:val="bottom"/>
            <w:tcBorders>
              <w:top w:val="single" w:sz="8" w:color="3051F2"/>
            </w:tcBorders>
            <w:shd w:val="clear" w:color="auto" w:fill="CCEEFF"/>
          </w:tcPr>
          <w:p>
            <w:pPr>
              <w:spacing w:after="0"/>
              <w:rPr>
                <w:sz w:val="3"/>
                <w:szCs w:val="3"/>
                <w:color w:val="auto"/>
              </w:rPr>
            </w:pPr>
          </w:p>
        </w:tc>
        <w:tc>
          <w:tcPr>
            <w:tcW w:w="80" w:type="dxa"/>
            <w:vAlign w:val="bottom"/>
            <w:tcBorders>
              <w:top w:val="single" w:sz="8" w:color="3051F2"/>
            </w:tcBorders>
            <w:shd w:val="clear" w:color="auto" w:fill="CCEEFF"/>
          </w:tcPr>
          <w:p>
            <w:pPr>
              <w:spacing w:after="0"/>
              <w:rPr>
                <w:sz w:val="3"/>
                <w:szCs w:val="3"/>
                <w:color w:val="auto"/>
              </w:rPr>
            </w:pPr>
          </w:p>
        </w:tc>
        <w:tc>
          <w:tcPr>
            <w:tcW w:w="400" w:type="dxa"/>
            <w:vAlign w:val="bottom"/>
            <w:tcBorders>
              <w:top w:val="single" w:sz="8" w:color="3051F2"/>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680" w:type="dxa"/>
            <w:vAlign w:val="bottom"/>
            <w:tcBorders>
              <w:top w:val="single" w:sz="8" w:color="CCEEFF"/>
            </w:tcBorders>
            <w:shd w:val="clear" w:color="auto" w:fill="CCEEFF"/>
          </w:tcPr>
          <w:p>
            <w:pPr>
              <w:spacing w:after="0"/>
              <w:rPr>
                <w:sz w:val="3"/>
                <w:szCs w:val="3"/>
                <w:color w:val="auto"/>
              </w:rPr>
            </w:pPr>
          </w:p>
        </w:tc>
        <w:tc>
          <w:tcPr>
            <w:tcW w:w="26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59"/>
        </w:trPr>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740" w:type="dxa"/>
            <w:vAlign w:val="bottom"/>
            <w:gridSpan w:val="19"/>
          </w:tcPr>
          <w:p>
            <w:pPr>
              <w:spacing w:after="0" w:line="159" w:lineRule="exact"/>
              <w:rPr>
                <w:sz w:val="20"/>
                <w:szCs w:val="20"/>
                <w:color w:val="auto"/>
              </w:rPr>
            </w:pPr>
            <w:r>
              <w:rPr>
                <w:rFonts w:ascii="Times New Roman" w:cs="Times New Roman" w:eastAsia="Times New Roman" w:hAnsi="Times New Roman"/>
                <w:sz w:val="14"/>
                <w:szCs w:val="14"/>
                <w:color w:val="3051F2"/>
              </w:rPr>
              <w:t>Condensed Consolidated Statements of Operations and Comprehensive Loss</w:t>
            </w:r>
          </w:p>
        </w:tc>
        <w:tc>
          <w:tcPr>
            <w:tcW w:w="2820" w:type="dxa"/>
            <w:vAlign w:val="bottom"/>
            <w:gridSpan w:val="4"/>
          </w:tcPr>
          <w:p>
            <w:pPr>
              <w:jc w:val="right"/>
              <w:ind w:right="20"/>
              <w:spacing w:after="0" w:line="159" w:lineRule="exact"/>
              <w:rPr>
                <w:sz w:val="20"/>
                <w:szCs w:val="20"/>
                <w:color w:val="auto"/>
              </w:rPr>
            </w:pPr>
            <w:r>
              <w:rPr>
                <w:rFonts w:ascii="Times New Roman" w:cs="Times New Roman" w:eastAsia="Times New Roman" w:hAnsi="Times New Roman"/>
                <w:sz w:val="14"/>
                <w:szCs w:val="14"/>
                <w:color w:val="3051F2"/>
              </w:rPr>
              <w:t>3</w:t>
            </w:r>
          </w:p>
        </w:tc>
      </w:tr>
      <w:tr>
        <w:trPr>
          <w:trHeight w:val="44"/>
        </w:trPr>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Borders>
              <w:top w:val="single" w:sz="8" w:color="3051F2"/>
            </w:tcBorders>
          </w:tcPr>
          <w:p>
            <w:pPr>
              <w:spacing w:after="0"/>
              <w:rPr>
                <w:sz w:val="3"/>
                <w:szCs w:val="3"/>
                <w:color w:val="auto"/>
              </w:rPr>
            </w:pPr>
          </w:p>
        </w:tc>
        <w:tc>
          <w:tcPr>
            <w:tcW w:w="200" w:type="dxa"/>
            <w:vAlign w:val="bottom"/>
            <w:tcBorders>
              <w:top w:val="single" w:sz="8" w:color="3051F2"/>
            </w:tcBorders>
          </w:tcPr>
          <w:p>
            <w:pPr>
              <w:spacing w:after="0"/>
              <w:rPr>
                <w:sz w:val="3"/>
                <w:szCs w:val="3"/>
                <w:color w:val="auto"/>
              </w:rPr>
            </w:pPr>
          </w:p>
        </w:tc>
        <w:tc>
          <w:tcPr>
            <w:tcW w:w="340" w:type="dxa"/>
            <w:vAlign w:val="bottom"/>
            <w:tcBorders>
              <w:top w:val="single" w:sz="8" w:color="3051F2"/>
            </w:tcBorders>
          </w:tcPr>
          <w:p>
            <w:pPr>
              <w:spacing w:after="0"/>
              <w:rPr>
                <w:sz w:val="3"/>
                <w:szCs w:val="3"/>
                <w:color w:val="auto"/>
              </w:rPr>
            </w:pPr>
          </w:p>
        </w:tc>
        <w:tc>
          <w:tcPr>
            <w:tcW w:w="220" w:type="dxa"/>
            <w:vAlign w:val="bottom"/>
            <w:tcBorders>
              <w:top w:val="single" w:sz="8" w:color="3051F2"/>
            </w:tcBorders>
          </w:tcPr>
          <w:p>
            <w:pPr>
              <w:spacing w:after="0"/>
              <w:rPr>
                <w:sz w:val="3"/>
                <w:szCs w:val="3"/>
                <w:color w:val="auto"/>
              </w:rPr>
            </w:pPr>
          </w:p>
        </w:tc>
        <w:tc>
          <w:tcPr>
            <w:tcW w:w="20" w:type="dxa"/>
            <w:vAlign w:val="bottom"/>
            <w:tcBorders>
              <w:top w:val="single" w:sz="8" w:color="3051F2"/>
            </w:tcBorders>
          </w:tcPr>
          <w:p>
            <w:pPr>
              <w:spacing w:after="0"/>
              <w:rPr>
                <w:sz w:val="3"/>
                <w:szCs w:val="3"/>
                <w:color w:val="auto"/>
              </w:rPr>
            </w:pPr>
          </w:p>
        </w:tc>
        <w:tc>
          <w:tcPr>
            <w:tcW w:w="340" w:type="dxa"/>
            <w:vAlign w:val="bottom"/>
            <w:tcBorders>
              <w:top w:val="single" w:sz="8" w:color="3051F2"/>
            </w:tcBorders>
          </w:tcPr>
          <w:p>
            <w:pPr>
              <w:spacing w:after="0"/>
              <w:rPr>
                <w:sz w:val="3"/>
                <w:szCs w:val="3"/>
                <w:color w:val="auto"/>
              </w:rPr>
            </w:pPr>
          </w:p>
        </w:tc>
        <w:tc>
          <w:tcPr>
            <w:tcW w:w="20" w:type="dxa"/>
            <w:vAlign w:val="bottom"/>
            <w:tcBorders>
              <w:top w:val="single" w:sz="8" w:color="3051F2"/>
            </w:tcBorders>
          </w:tcPr>
          <w:p>
            <w:pPr>
              <w:spacing w:after="0"/>
              <w:rPr>
                <w:sz w:val="3"/>
                <w:szCs w:val="3"/>
                <w:color w:val="auto"/>
              </w:rPr>
            </w:pPr>
          </w:p>
        </w:tc>
        <w:tc>
          <w:tcPr>
            <w:tcW w:w="260" w:type="dxa"/>
            <w:vAlign w:val="bottom"/>
            <w:tcBorders>
              <w:top w:val="single" w:sz="8" w:color="3051F2"/>
            </w:tcBorders>
          </w:tcPr>
          <w:p>
            <w:pPr>
              <w:spacing w:after="0"/>
              <w:rPr>
                <w:sz w:val="3"/>
                <w:szCs w:val="3"/>
                <w:color w:val="auto"/>
              </w:rPr>
            </w:pPr>
          </w:p>
        </w:tc>
        <w:tc>
          <w:tcPr>
            <w:tcW w:w="160" w:type="dxa"/>
            <w:vAlign w:val="bottom"/>
            <w:tcBorders>
              <w:top w:val="single" w:sz="8" w:color="3051F2"/>
            </w:tcBorders>
          </w:tcPr>
          <w:p>
            <w:pPr>
              <w:spacing w:after="0"/>
              <w:rPr>
                <w:sz w:val="3"/>
                <w:szCs w:val="3"/>
                <w:color w:val="auto"/>
              </w:rPr>
            </w:pPr>
          </w:p>
        </w:tc>
        <w:tc>
          <w:tcPr>
            <w:tcW w:w="80" w:type="dxa"/>
            <w:vAlign w:val="bottom"/>
            <w:tcBorders>
              <w:top w:val="single" w:sz="8" w:color="3051F2"/>
            </w:tcBorders>
          </w:tcPr>
          <w:p>
            <w:pPr>
              <w:spacing w:after="0"/>
              <w:rPr>
                <w:sz w:val="3"/>
                <w:szCs w:val="3"/>
                <w:color w:val="auto"/>
              </w:rPr>
            </w:pPr>
          </w:p>
        </w:tc>
        <w:tc>
          <w:tcPr>
            <w:tcW w:w="400" w:type="dxa"/>
            <w:vAlign w:val="bottom"/>
            <w:tcBorders>
              <w:top w:val="single" w:sz="8" w:color="3051F2"/>
            </w:tcBorders>
          </w:tcPr>
          <w:p>
            <w:pPr>
              <w:spacing w:after="0"/>
              <w:rPr>
                <w:sz w:val="3"/>
                <w:szCs w:val="3"/>
                <w:color w:val="auto"/>
              </w:rPr>
            </w:pPr>
          </w:p>
        </w:tc>
        <w:tc>
          <w:tcPr>
            <w:tcW w:w="600" w:type="dxa"/>
            <w:vAlign w:val="bottom"/>
            <w:tcBorders>
              <w:top w:val="single" w:sz="8" w:color="3051F2"/>
            </w:tcBorders>
          </w:tcPr>
          <w:p>
            <w:pPr>
              <w:spacing w:after="0"/>
              <w:rPr>
                <w:sz w:val="3"/>
                <w:szCs w:val="3"/>
                <w:color w:val="auto"/>
              </w:rPr>
            </w:pPr>
          </w:p>
        </w:tc>
        <w:tc>
          <w:tcPr>
            <w:tcW w:w="220" w:type="dxa"/>
            <w:vAlign w:val="bottom"/>
            <w:tcBorders>
              <w:top w:val="single" w:sz="8" w:color="3051F2"/>
            </w:tcBorders>
          </w:tcPr>
          <w:p>
            <w:pPr>
              <w:spacing w:after="0"/>
              <w:rPr>
                <w:sz w:val="3"/>
                <w:szCs w:val="3"/>
                <w:color w:val="auto"/>
              </w:rPr>
            </w:pPr>
          </w:p>
        </w:tc>
        <w:tc>
          <w:tcPr>
            <w:tcW w:w="180" w:type="dxa"/>
            <w:vAlign w:val="bottom"/>
            <w:tcBorders>
              <w:top w:val="single" w:sz="8" w:color="3051F2"/>
            </w:tcBorders>
          </w:tcPr>
          <w:p>
            <w:pPr>
              <w:spacing w:after="0"/>
              <w:rPr>
                <w:sz w:val="3"/>
                <w:szCs w:val="3"/>
                <w:color w:val="auto"/>
              </w:rPr>
            </w:pPr>
          </w:p>
        </w:tc>
        <w:tc>
          <w:tcPr>
            <w:tcW w:w="100" w:type="dxa"/>
            <w:vAlign w:val="bottom"/>
            <w:tcBorders>
              <w:top w:val="single" w:sz="8" w:color="3051F2"/>
            </w:tcBorders>
          </w:tcPr>
          <w:p>
            <w:pPr>
              <w:spacing w:after="0"/>
              <w:rPr>
                <w:sz w:val="3"/>
                <w:szCs w:val="3"/>
                <w:color w:val="auto"/>
              </w:rPr>
            </w:pPr>
          </w:p>
        </w:tc>
        <w:tc>
          <w:tcPr>
            <w:tcW w:w="20" w:type="dxa"/>
            <w:vAlign w:val="bottom"/>
            <w:tcBorders>
              <w:top w:val="single" w:sz="8" w:color="3051F2"/>
            </w:tcBorders>
          </w:tcPr>
          <w:p>
            <w:pPr>
              <w:spacing w:after="0"/>
              <w:rPr>
                <w:sz w:val="3"/>
                <w:szCs w:val="3"/>
                <w:color w:val="auto"/>
              </w:rPr>
            </w:pPr>
          </w:p>
        </w:tc>
        <w:tc>
          <w:tcPr>
            <w:tcW w:w="920" w:type="dxa"/>
            <w:vAlign w:val="bottom"/>
            <w:tcBorders>
              <w:top w:val="single" w:sz="8" w:color="3051F2"/>
            </w:tcBorders>
          </w:tcPr>
          <w:p>
            <w:pPr>
              <w:spacing w:after="0"/>
              <w:rPr>
                <w:sz w:val="3"/>
                <w:szCs w:val="3"/>
                <w:color w:val="auto"/>
              </w:rPr>
            </w:pPr>
          </w:p>
        </w:tc>
        <w:tc>
          <w:tcPr>
            <w:tcW w:w="7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top w:val="single" w:sz="8" w:color="3051F2"/>
            </w:tcBorders>
          </w:tcPr>
          <w:p>
            <w:pPr>
              <w:spacing w:after="0"/>
              <w:rPr>
                <w:sz w:val="3"/>
                <w:szCs w:val="3"/>
                <w:color w:val="auto"/>
              </w:rPr>
            </w:pPr>
          </w:p>
        </w:tc>
        <w:tc>
          <w:tcPr>
            <w:tcW w:w="20" w:type="dxa"/>
            <w:vAlign w:val="bottom"/>
          </w:tcPr>
          <w:p>
            <w:pPr>
              <w:spacing w:after="0"/>
              <w:rPr>
                <w:sz w:val="3"/>
                <w:szCs w:val="3"/>
                <w:color w:val="auto"/>
              </w:rPr>
            </w:pPr>
          </w:p>
        </w:tc>
      </w:tr>
      <w:tr>
        <w:trPr>
          <w:trHeight w:val="159"/>
        </w:trPr>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300" w:type="dxa"/>
            <w:vAlign w:val="bottom"/>
            <w:gridSpan w:val="14"/>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3051F2"/>
              </w:rPr>
              <w:t>Condensed Consolidated Statements of Changes In Equity</w:t>
            </w:r>
          </w:p>
        </w:tc>
        <w:tc>
          <w:tcPr>
            <w:tcW w:w="4440" w:type="dxa"/>
            <w:vAlign w:val="bottom"/>
            <w:gridSpan w:val="5"/>
            <w:shd w:val="clear" w:color="auto" w:fill="CCEEFF"/>
          </w:tcPr>
          <w:p>
            <w:pPr>
              <w:spacing w:after="0"/>
              <w:rPr>
                <w:sz w:val="13"/>
                <w:szCs w:val="13"/>
                <w:color w:val="auto"/>
              </w:rPr>
            </w:pPr>
          </w:p>
        </w:tc>
        <w:tc>
          <w:tcPr>
            <w:tcW w:w="2820" w:type="dxa"/>
            <w:vAlign w:val="bottom"/>
            <w:gridSpan w:val="4"/>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4"/>
                <w:szCs w:val="14"/>
                <w:color w:val="3051F2"/>
              </w:rPr>
              <w:t>4</w:t>
            </w:r>
          </w:p>
        </w:tc>
      </w:tr>
      <w:tr>
        <w:trPr>
          <w:trHeight w:val="44"/>
        </w:trPr>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3051F2"/>
            </w:tcBorders>
            <w:shd w:val="clear" w:color="auto" w:fill="CCEEFF"/>
          </w:tcPr>
          <w:p>
            <w:pPr>
              <w:spacing w:after="0"/>
              <w:rPr>
                <w:sz w:val="3"/>
                <w:szCs w:val="3"/>
                <w:color w:val="auto"/>
              </w:rPr>
            </w:pPr>
          </w:p>
        </w:tc>
        <w:tc>
          <w:tcPr>
            <w:tcW w:w="200" w:type="dxa"/>
            <w:vAlign w:val="bottom"/>
            <w:tcBorders>
              <w:top w:val="single" w:sz="8" w:color="3051F2"/>
            </w:tcBorders>
            <w:shd w:val="clear" w:color="auto" w:fill="CCEEFF"/>
          </w:tcPr>
          <w:p>
            <w:pPr>
              <w:spacing w:after="0"/>
              <w:rPr>
                <w:sz w:val="3"/>
                <w:szCs w:val="3"/>
                <w:color w:val="auto"/>
              </w:rPr>
            </w:pPr>
          </w:p>
        </w:tc>
        <w:tc>
          <w:tcPr>
            <w:tcW w:w="340" w:type="dxa"/>
            <w:vAlign w:val="bottom"/>
            <w:tcBorders>
              <w:top w:val="single" w:sz="8" w:color="3051F2"/>
            </w:tcBorders>
            <w:shd w:val="clear" w:color="auto" w:fill="CCEEFF"/>
          </w:tcPr>
          <w:p>
            <w:pPr>
              <w:spacing w:after="0"/>
              <w:rPr>
                <w:sz w:val="3"/>
                <w:szCs w:val="3"/>
                <w:color w:val="auto"/>
              </w:rPr>
            </w:pPr>
          </w:p>
        </w:tc>
        <w:tc>
          <w:tcPr>
            <w:tcW w:w="22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3051F2"/>
            </w:tcBorders>
            <w:shd w:val="clear" w:color="auto" w:fill="CCEEFF"/>
          </w:tcPr>
          <w:p>
            <w:pPr>
              <w:spacing w:after="0"/>
              <w:rPr>
                <w:sz w:val="3"/>
                <w:szCs w:val="3"/>
                <w:color w:val="auto"/>
              </w:rPr>
            </w:pPr>
          </w:p>
        </w:tc>
        <w:tc>
          <w:tcPr>
            <w:tcW w:w="34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3051F2"/>
            </w:tcBorders>
            <w:shd w:val="clear" w:color="auto" w:fill="CCEEFF"/>
          </w:tcPr>
          <w:p>
            <w:pPr>
              <w:spacing w:after="0"/>
              <w:rPr>
                <w:sz w:val="3"/>
                <w:szCs w:val="3"/>
                <w:color w:val="auto"/>
              </w:rPr>
            </w:pPr>
          </w:p>
        </w:tc>
        <w:tc>
          <w:tcPr>
            <w:tcW w:w="260" w:type="dxa"/>
            <w:vAlign w:val="bottom"/>
            <w:tcBorders>
              <w:top w:val="single" w:sz="8" w:color="3051F2"/>
            </w:tcBorders>
            <w:shd w:val="clear" w:color="auto" w:fill="CCEEFF"/>
          </w:tcPr>
          <w:p>
            <w:pPr>
              <w:spacing w:after="0"/>
              <w:rPr>
                <w:sz w:val="3"/>
                <w:szCs w:val="3"/>
                <w:color w:val="auto"/>
              </w:rPr>
            </w:pPr>
          </w:p>
        </w:tc>
        <w:tc>
          <w:tcPr>
            <w:tcW w:w="160" w:type="dxa"/>
            <w:vAlign w:val="bottom"/>
            <w:tcBorders>
              <w:top w:val="single" w:sz="8" w:color="3051F2"/>
            </w:tcBorders>
            <w:shd w:val="clear" w:color="auto" w:fill="CCEEFF"/>
          </w:tcPr>
          <w:p>
            <w:pPr>
              <w:spacing w:after="0"/>
              <w:rPr>
                <w:sz w:val="3"/>
                <w:szCs w:val="3"/>
                <w:color w:val="auto"/>
              </w:rPr>
            </w:pPr>
          </w:p>
        </w:tc>
        <w:tc>
          <w:tcPr>
            <w:tcW w:w="80" w:type="dxa"/>
            <w:vAlign w:val="bottom"/>
            <w:tcBorders>
              <w:top w:val="single" w:sz="8" w:color="3051F2"/>
            </w:tcBorders>
            <w:shd w:val="clear" w:color="auto" w:fill="CCEEFF"/>
          </w:tcPr>
          <w:p>
            <w:pPr>
              <w:spacing w:after="0"/>
              <w:rPr>
                <w:sz w:val="3"/>
                <w:szCs w:val="3"/>
                <w:color w:val="auto"/>
              </w:rPr>
            </w:pPr>
          </w:p>
        </w:tc>
        <w:tc>
          <w:tcPr>
            <w:tcW w:w="400" w:type="dxa"/>
            <w:vAlign w:val="bottom"/>
            <w:tcBorders>
              <w:top w:val="single" w:sz="8" w:color="3051F2"/>
            </w:tcBorders>
            <w:shd w:val="clear" w:color="auto" w:fill="CCEEFF"/>
          </w:tcPr>
          <w:p>
            <w:pPr>
              <w:spacing w:after="0"/>
              <w:rPr>
                <w:sz w:val="3"/>
                <w:szCs w:val="3"/>
                <w:color w:val="auto"/>
              </w:rPr>
            </w:pPr>
          </w:p>
        </w:tc>
        <w:tc>
          <w:tcPr>
            <w:tcW w:w="600" w:type="dxa"/>
            <w:vAlign w:val="bottom"/>
            <w:tcBorders>
              <w:top w:val="single" w:sz="8" w:color="3051F2"/>
            </w:tcBorders>
            <w:shd w:val="clear" w:color="auto" w:fill="CCEEFF"/>
          </w:tcPr>
          <w:p>
            <w:pPr>
              <w:spacing w:after="0"/>
              <w:rPr>
                <w:sz w:val="3"/>
                <w:szCs w:val="3"/>
                <w:color w:val="auto"/>
              </w:rPr>
            </w:pPr>
          </w:p>
        </w:tc>
        <w:tc>
          <w:tcPr>
            <w:tcW w:w="220" w:type="dxa"/>
            <w:vAlign w:val="bottom"/>
            <w:tcBorders>
              <w:top w:val="single" w:sz="8" w:color="3051F2"/>
            </w:tcBorders>
            <w:shd w:val="clear" w:color="auto" w:fill="CCEEFF"/>
          </w:tcPr>
          <w:p>
            <w:pPr>
              <w:spacing w:after="0"/>
              <w:rPr>
                <w:sz w:val="3"/>
                <w:szCs w:val="3"/>
                <w:color w:val="auto"/>
              </w:rPr>
            </w:pPr>
          </w:p>
        </w:tc>
        <w:tc>
          <w:tcPr>
            <w:tcW w:w="180" w:type="dxa"/>
            <w:vAlign w:val="bottom"/>
            <w:tcBorders>
              <w:top w:val="single" w:sz="8" w:color="3051F2"/>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680" w:type="dxa"/>
            <w:vAlign w:val="bottom"/>
            <w:tcBorders>
              <w:top w:val="single" w:sz="8" w:color="CCEEFF"/>
            </w:tcBorders>
            <w:shd w:val="clear" w:color="auto" w:fill="CCEEFF"/>
          </w:tcPr>
          <w:p>
            <w:pPr>
              <w:spacing w:after="0"/>
              <w:rPr>
                <w:sz w:val="3"/>
                <w:szCs w:val="3"/>
                <w:color w:val="auto"/>
              </w:rPr>
            </w:pPr>
          </w:p>
        </w:tc>
        <w:tc>
          <w:tcPr>
            <w:tcW w:w="26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59"/>
        </w:trPr>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300" w:type="dxa"/>
            <w:vAlign w:val="bottom"/>
            <w:gridSpan w:val="14"/>
          </w:tcPr>
          <w:p>
            <w:pPr>
              <w:spacing w:after="0" w:line="159" w:lineRule="exact"/>
              <w:rPr>
                <w:sz w:val="20"/>
                <w:szCs w:val="20"/>
                <w:color w:val="auto"/>
              </w:rPr>
            </w:pPr>
            <w:r>
              <w:rPr>
                <w:rFonts w:ascii="Times New Roman" w:cs="Times New Roman" w:eastAsia="Times New Roman" w:hAnsi="Times New Roman"/>
                <w:sz w:val="14"/>
                <w:szCs w:val="14"/>
                <w:color w:val="3051F2"/>
              </w:rPr>
              <w:t>Condensed Consolidated Statements of Cash Flows</w:t>
            </w:r>
          </w:p>
        </w:tc>
        <w:tc>
          <w:tcPr>
            <w:tcW w:w="4440" w:type="dxa"/>
            <w:vAlign w:val="bottom"/>
            <w:gridSpan w:val="5"/>
          </w:tcPr>
          <w:p>
            <w:pPr>
              <w:spacing w:after="0"/>
              <w:rPr>
                <w:sz w:val="13"/>
                <w:szCs w:val="13"/>
                <w:color w:val="auto"/>
              </w:rPr>
            </w:pPr>
          </w:p>
        </w:tc>
        <w:tc>
          <w:tcPr>
            <w:tcW w:w="2820" w:type="dxa"/>
            <w:vAlign w:val="bottom"/>
            <w:gridSpan w:val="4"/>
          </w:tcPr>
          <w:p>
            <w:pPr>
              <w:jc w:val="right"/>
              <w:ind w:right="20"/>
              <w:spacing w:after="0" w:line="159" w:lineRule="exact"/>
              <w:rPr>
                <w:sz w:val="20"/>
                <w:szCs w:val="20"/>
                <w:color w:val="auto"/>
              </w:rPr>
            </w:pPr>
            <w:r>
              <w:rPr>
                <w:rFonts w:ascii="Times New Roman" w:cs="Times New Roman" w:eastAsia="Times New Roman" w:hAnsi="Times New Roman"/>
                <w:sz w:val="14"/>
                <w:szCs w:val="14"/>
                <w:color w:val="3051F2"/>
              </w:rPr>
              <w:t>6</w:t>
            </w:r>
          </w:p>
        </w:tc>
      </w:tr>
      <w:tr>
        <w:trPr>
          <w:trHeight w:val="44"/>
        </w:trPr>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Borders>
              <w:top w:val="single" w:sz="8" w:color="3051F2"/>
            </w:tcBorders>
          </w:tcPr>
          <w:p>
            <w:pPr>
              <w:spacing w:after="0"/>
              <w:rPr>
                <w:sz w:val="3"/>
                <w:szCs w:val="3"/>
                <w:color w:val="auto"/>
              </w:rPr>
            </w:pPr>
          </w:p>
        </w:tc>
        <w:tc>
          <w:tcPr>
            <w:tcW w:w="200" w:type="dxa"/>
            <w:vAlign w:val="bottom"/>
            <w:tcBorders>
              <w:top w:val="single" w:sz="8" w:color="3051F2"/>
            </w:tcBorders>
          </w:tcPr>
          <w:p>
            <w:pPr>
              <w:spacing w:after="0"/>
              <w:rPr>
                <w:sz w:val="3"/>
                <w:szCs w:val="3"/>
                <w:color w:val="auto"/>
              </w:rPr>
            </w:pPr>
          </w:p>
        </w:tc>
        <w:tc>
          <w:tcPr>
            <w:tcW w:w="340" w:type="dxa"/>
            <w:vAlign w:val="bottom"/>
            <w:tcBorders>
              <w:top w:val="single" w:sz="8" w:color="3051F2"/>
            </w:tcBorders>
          </w:tcPr>
          <w:p>
            <w:pPr>
              <w:spacing w:after="0"/>
              <w:rPr>
                <w:sz w:val="3"/>
                <w:szCs w:val="3"/>
                <w:color w:val="auto"/>
              </w:rPr>
            </w:pPr>
          </w:p>
        </w:tc>
        <w:tc>
          <w:tcPr>
            <w:tcW w:w="220" w:type="dxa"/>
            <w:vAlign w:val="bottom"/>
            <w:tcBorders>
              <w:top w:val="single" w:sz="8" w:color="3051F2"/>
            </w:tcBorders>
          </w:tcPr>
          <w:p>
            <w:pPr>
              <w:spacing w:after="0"/>
              <w:rPr>
                <w:sz w:val="3"/>
                <w:szCs w:val="3"/>
                <w:color w:val="auto"/>
              </w:rPr>
            </w:pPr>
          </w:p>
        </w:tc>
        <w:tc>
          <w:tcPr>
            <w:tcW w:w="20" w:type="dxa"/>
            <w:vAlign w:val="bottom"/>
            <w:tcBorders>
              <w:top w:val="single" w:sz="8" w:color="3051F2"/>
            </w:tcBorders>
          </w:tcPr>
          <w:p>
            <w:pPr>
              <w:spacing w:after="0"/>
              <w:rPr>
                <w:sz w:val="3"/>
                <w:szCs w:val="3"/>
                <w:color w:val="auto"/>
              </w:rPr>
            </w:pPr>
          </w:p>
        </w:tc>
        <w:tc>
          <w:tcPr>
            <w:tcW w:w="340" w:type="dxa"/>
            <w:vAlign w:val="bottom"/>
            <w:tcBorders>
              <w:top w:val="single" w:sz="8" w:color="3051F2"/>
            </w:tcBorders>
          </w:tcPr>
          <w:p>
            <w:pPr>
              <w:spacing w:after="0"/>
              <w:rPr>
                <w:sz w:val="3"/>
                <w:szCs w:val="3"/>
                <w:color w:val="auto"/>
              </w:rPr>
            </w:pPr>
          </w:p>
        </w:tc>
        <w:tc>
          <w:tcPr>
            <w:tcW w:w="20" w:type="dxa"/>
            <w:vAlign w:val="bottom"/>
            <w:tcBorders>
              <w:top w:val="single" w:sz="8" w:color="3051F2"/>
            </w:tcBorders>
          </w:tcPr>
          <w:p>
            <w:pPr>
              <w:spacing w:after="0"/>
              <w:rPr>
                <w:sz w:val="3"/>
                <w:szCs w:val="3"/>
                <w:color w:val="auto"/>
              </w:rPr>
            </w:pPr>
          </w:p>
        </w:tc>
        <w:tc>
          <w:tcPr>
            <w:tcW w:w="260" w:type="dxa"/>
            <w:vAlign w:val="bottom"/>
            <w:tcBorders>
              <w:top w:val="single" w:sz="8" w:color="3051F2"/>
            </w:tcBorders>
          </w:tcPr>
          <w:p>
            <w:pPr>
              <w:spacing w:after="0"/>
              <w:rPr>
                <w:sz w:val="3"/>
                <w:szCs w:val="3"/>
                <w:color w:val="auto"/>
              </w:rPr>
            </w:pPr>
          </w:p>
        </w:tc>
        <w:tc>
          <w:tcPr>
            <w:tcW w:w="160" w:type="dxa"/>
            <w:vAlign w:val="bottom"/>
            <w:tcBorders>
              <w:top w:val="single" w:sz="8" w:color="3051F2"/>
            </w:tcBorders>
          </w:tcPr>
          <w:p>
            <w:pPr>
              <w:spacing w:after="0"/>
              <w:rPr>
                <w:sz w:val="3"/>
                <w:szCs w:val="3"/>
                <w:color w:val="auto"/>
              </w:rPr>
            </w:pPr>
          </w:p>
        </w:tc>
        <w:tc>
          <w:tcPr>
            <w:tcW w:w="80" w:type="dxa"/>
            <w:vAlign w:val="bottom"/>
            <w:tcBorders>
              <w:top w:val="single" w:sz="8" w:color="3051F2"/>
            </w:tcBorders>
          </w:tcPr>
          <w:p>
            <w:pPr>
              <w:spacing w:after="0"/>
              <w:rPr>
                <w:sz w:val="3"/>
                <w:szCs w:val="3"/>
                <w:color w:val="auto"/>
              </w:rPr>
            </w:pPr>
          </w:p>
        </w:tc>
        <w:tc>
          <w:tcPr>
            <w:tcW w:w="400" w:type="dxa"/>
            <w:vAlign w:val="bottom"/>
            <w:tcBorders>
              <w:top w:val="single" w:sz="8" w:color="3051F2"/>
            </w:tcBorders>
          </w:tcPr>
          <w:p>
            <w:pPr>
              <w:spacing w:after="0"/>
              <w:rPr>
                <w:sz w:val="3"/>
                <w:szCs w:val="3"/>
                <w:color w:val="auto"/>
              </w:rPr>
            </w:pPr>
          </w:p>
        </w:tc>
        <w:tc>
          <w:tcPr>
            <w:tcW w:w="600" w:type="dxa"/>
            <w:vAlign w:val="bottom"/>
            <w:tcBorders>
              <w:top w:val="single" w:sz="8" w:color="3051F2"/>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top w:val="single" w:sz="8" w:color="3051F2"/>
            </w:tcBorders>
          </w:tcPr>
          <w:p>
            <w:pPr>
              <w:spacing w:after="0"/>
              <w:rPr>
                <w:sz w:val="3"/>
                <w:szCs w:val="3"/>
                <w:color w:val="auto"/>
              </w:rPr>
            </w:pPr>
          </w:p>
        </w:tc>
        <w:tc>
          <w:tcPr>
            <w:tcW w:w="20" w:type="dxa"/>
            <w:vAlign w:val="bottom"/>
          </w:tcPr>
          <w:p>
            <w:pPr>
              <w:spacing w:after="0"/>
              <w:rPr>
                <w:sz w:val="3"/>
                <w:szCs w:val="3"/>
                <w:color w:val="auto"/>
              </w:rPr>
            </w:pPr>
          </w:p>
        </w:tc>
      </w:tr>
      <w:tr>
        <w:trPr>
          <w:trHeight w:val="159"/>
        </w:trPr>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740" w:type="dxa"/>
            <w:vAlign w:val="bottom"/>
            <w:gridSpan w:val="19"/>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3051F2"/>
              </w:rPr>
              <w:t>Notes to Condensed Consolidated Financial Statements</w:t>
            </w:r>
          </w:p>
        </w:tc>
        <w:tc>
          <w:tcPr>
            <w:tcW w:w="2820" w:type="dxa"/>
            <w:vAlign w:val="bottom"/>
            <w:gridSpan w:val="4"/>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4"/>
                <w:szCs w:val="14"/>
                <w:color w:val="3051F2"/>
              </w:rPr>
              <w:t>7</w:t>
            </w:r>
          </w:p>
        </w:tc>
      </w:tr>
      <w:tr>
        <w:trPr>
          <w:trHeight w:val="44"/>
        </w:trPr>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3051F2"/>
            </w:tcBorders>
            <w:shd w:val="clear" w:color="auto" w:fill="CCEEFF"/>
          </w:tcPr>
          <w:p>
            <w:pPr>
              <w:spacing w:after="0"/>
              <w:rPr>
                <w:sz w:val="3"/>
                <w:szCs w:val="3"/>
                <w:color w:val="auto"/>
              </w:rPr>
            </w:pPr>
          </w:p>
        </w:tc>
        <w:tc>
          <w:tcPr>
            <w:tcW w:w="200" w:type="dxa"/>
            <w:vAlign w:val="bottom"/>
            <w:tcBorders>
              <w:top w:val="single" w:sz="8" w:color="3051F2"/>
            </w:tcBorders>
            <w:shd w:val="clear" w:color="auto" w:fill="CCEEFF"/>
          </w:tcPr>
          <w:p>
            <w:pPr>
              <w:spacing w:after="0"/>
              <w:rPr>
                <w:sz w:val="3"/>
                <w:szCs w:val="3"/>
                <w:color w:val="auto"/>
              </w:rPr>
            </w:pPr>
          </w:p>
        </w:tc>
        <w:tc>
          <w:tcPr>
            <w:tcW w:w="340" w:type="dxa"/>
            <w:vAlign w:val="bottom"/>
            <w:tcBorders>
              <w:top w:val="single" w:sz="8" w:color="3051F2"/>
            </w:tcBorders>
            <w:shd w:val="clear" w:color="auto" w:fill="CCEEFF"/>
          </w:tcPr>
          <w:p>
            <w:pPr>
              <w:spacing w:after="0"/>
              <w:rPr>
                <w:sz w:val="3"/>
                <w:szCs w:val="3"/>
                <w:color w:val="auto"/>
              </w:rPr>
            </w:pPr>
          </w:p>
        </w:tc>
        <w:tc>
          <w:tcPr>
            <w:tcW w:w="22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3051F2"/>
            </w:tcBorders>
            <w:shd w:val="clear" w:color="auto" w:fill="CCEEFF"/>
          </w:tcPr>
          <w:p>
            <w:pPr>
              <w:spacing w:after="0"/>
              <w:rPr>
                <w:sz w:val="3"/>
                <w:szCs w:val="3"/>
                <w:color w:val="auto"/>
              </w:rPr>
            </w:pPr>
          </w:p>
        </w:tc>
        <w:tc>
          <w:tcPr>
            <w:tcW w:w="34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3051F2"/>
            </w:tcBorders>
            <w:shd w:val="clear" w:color="auto" w:fill="CCEEFF"/>
          </w:tcPr>
          <w:p>
            <w:pPr>
              <w:spacing w:after="0"/>
              <w:rPr>
                <w:sz w:val="3"/>
                <w:szCs w:val="3"/>
                <w:color w:val="auto"/>
              </w:rPr>
            </w:pPr>
          </w:p>
        </w:tc>
        <w:tc>
          <w:tcPr>
            <w:tcW w:w="260" w:type="dxa"/>
            <w:vAlign w:val="bottom"/>
            <w:tcBorders>
              <w:top w:val="single" w:sz="8" w:color="3051F2"/>
            </w:tcBorders>
            <w:shd w:val="clear" w:color="auto" w:fill="CCEEFF"/>
          </w:tcPr>
          <w:p>
            <w:pPr>
              <w:spacing w:after="0"/>
              <w:rPr>
                <w:sz w:val="3"/>
                <w:szCs w:val="3"/>
                <w:color w:val="auto"/>
              </w:rPr>
            </w:pPr>
          </w:p>
        </w:tc>
        <w:tc>
          <w:tcPr>
            <w:tcW w:w="160" w:type="dxa"/>
            <w:vAlign w:val="bottom"/>
            <w:tcBorders>
              <w:top w:val="single" w:sz="8" w:color="3051F2"/>
            </w:tcBorders>
            <w:shd w:val="clear" w:color="auto" w:fill="CCEEFF"/>
          </w:tcPr>
          <w:p>
            <w:pPr>
              <w:spacing w:after="0"/>
              <w:rPr>
                <w:sz w:val="3"/>
                <w:szCs w:val="3"/>
                <w:color w:val="auto"/>
              </w:rPr>
            </w:pPr>
          </w:p>
        </w:tc>
        <w:tc>
          <w:tcPr>
            <w:tcW w:w="80" w:type="dxa"/>
            <w:vAlign w:val="bottom"/>
            <w:tcBorders>
              <w:top w:val="single" w:sz="8" w:color="3051F2"/>
            </w:tcBorders>
            <w:shd w:val="clear" w:color="auto" w:fill="CCEEFF"/>
          </w:tcPr>
          <w:p>
            <w:pPr>
              <w:spacing w:after="0"/>
              <w:rPr>
                <w:sz w:val="3"/>
                <w:szCs w:val="3"/>
                <w:color w:val="auto"/>
              </w:rPr>
            </w:pPr>
          </w:p>
        </w:tc>
        <w:tc>
          <w:tcPr>
            <w:tcW w:w="400" w:type="dxa"/>
            <w:vAlign w:val="bottom"/>
            <w:tcBorders>
              <w:top w:val="single" w:sz="8" w:color="3051F2"/>
            </w:tcBorders>
            <w:shd w:val="clear" w:color="auto" w:fill="CCEEFF"/>
          </w:tcPr>
          <w:p>
            <w:pPr>
              <w:spacing w:after="0"/>
              <w:rPr>
                <w:sz w:val="3"/>
                <w:szCs w:val="3"/>
                <w:color w:val="auto"/>
              </w:rPr>
            </w:pPr>
          </w:p>
        </w:tc>
        <w:tc>
          <w:tcPr>
            <w:tcW w:w="600" w:type="dxa"/>
            <w:vAlign w:val="bottom"/>
            <w:tcBorders>
              <w:top w:val="single" w:sz="8" w:color="3051F2"/>
            </w:tcBorders>
            <w:shd w:val="clear" w:color="auto" w:fill="CCEEFF"/>
          </w:tcPr>
          <w:p>
            <w:pPr>
              <w:spacing w:after="0"/>
              <w:rPr>
                <w:sz w:val="3"/>
                <w:szCs w:val="3"/>
                <w:color w:val="auto"/>
              </w:rPr>
            </w:pPr>
          </w:p>
        </w:tc>
        <w:tc>
          <w:tcPr>
            <w:tcW w:w="220" w:type="dxa"/>
            <w:vAlign w:val="bottom"/>
            <w:tcBorders>
              <w:top w:val="single" w:sz="8" w:color="3051F2"/>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680" w:type="dxa"/>
            <w:vAlign w:val="bottom"/>
            <w:tcBorders>
              <w:top w:val="single" w:sz="8" w:color="CCEEFF"/>
            </w:tcBorders>
            <w:shd w:val="clear" w:color="auto" w:fill="CCEEFF"/>
          </w:tcPr>
          <w:p>
            <w:pPr>
              <w:spacing w:after="0"/>
              <w:rPr>
                <w:sz w:val="3"/>
                <w:szCs w:val="3"/>
                <w:color w:val="auto"/>
              </w:rPr>
            </w:pPr>
          </w:p>
        </w:tc>
        <w:tc>
          <w:tcPr>
            <w:tcW w:w="26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59"/>
        </w:trPr>
        <w:tc>
          <w:tcPr>
            <w:tcW w:w="100" w:type="dxa"/>
            <w:vAlign w:val="bottom"/>
          </w:tcPr>
          <w:p>
            <w:pPr>
              <w:spacing w:after="0"/>
              <w:rPr>
                <w:sz w:val="13"/>
                <w:szCs w:val="13"/>
                <w:color w:val="auto"/>
              </w:rPr>
            </w:pPr>
          </w:p>
        </w:tc>
        <w:tc>
          <w:tcPr>
            <w:tcW w:w="8360" w:type="dxa"/>
            <w:vAlign w:val="bottom"/>
            <w:gridSpan w:val="21"/>
          </w:tcPr>
          <w:p>
            <w:pPr>
              <w:ind w:left="180"/>
              <w:spacing w:after="0" w:line="159" w:lineRule="exact"/>
              <w:rPr>
                <w:sz w:val="20"/>
                <w:szCs w:val="20"/>
                <w:color w:val="auto"/>
              </w:rPr>
            </w:pPr>
            <w:r>
              <w:rPr>
                <w:rFonts w:ascii="Times New Roman" w:cs="Times New Roman" w:eastAsia="Times New Roman" w:hAnsi="Times New Roman"/>
                <w:sz w:val="14"/>
                <w:szCs w:val="14"/>
                <w:color w:val="3051F2"/>
              </w:rPr>
              <w:t>Item 2. Management’s Discussion and Analysis of Financial Condition and Results of Operations</w:t>
            </w:r>
          </w:p>
        </w:tc>
        <w:tc>
          <w:tcPr>
            <w:tcW w:w="280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3051F2"/>
              </w:rPr>
              <w:t>28</w:t>
            </w:r>
          </w:p>
        </w:tc>
        <w:tc>
          <w:tcPr>
            <w:tcW w:w="20" w:type="dxa"/>
            <w:vAlign w:val="bottom"/>
          </w:tcPr>
          <w:p>
            <w:pPr>
              <w:spacing w:after="0"/>
              <w:rPr>
                <w:sz w:val="13"/>
                <w:szCs w:val="13"/>
                <w:color w:val="auto"/>
              </w:rPr>
            </w:pPr>
          </w:p>
        </w:tc>
      </w:tr>
      <w:tr>
        <w:trPr>
          <w:trHeight w:val="44"/>
        </w:trPr>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Borders>
              <w:top w:val="single" w:sz="8" w:color="3051F2"/>
            </w:tcBorders>
          </w:tcPr>
          <w:p>
            <w:pPr>
              <w:spacing w:after="0"/>
              <w:rPr>
                <w:sz w:val="3"/>
                <w:szCs w:val="3"/>
                <w:color w:val="auto"/>
              </w:rPr>
            </w:pPr>
          </w:p>
        </w:tc>
        <w:tc>
          <w:tcPr>
            <w:tcW w:w="260" w:type="dxa"/>
            <w:vAlign w:val="bottom"/>
            <w:tcBorders>
              <w:top w:val="single" w:sz="8" w:color="3051F2"/>
            </w:tcBorders>
          </w:tcPr>
          <w:p>
            <w:pPr>
              <w:spacing w:after="0"/>
              <w:rPr>
                <w:sz w:val="3"/>
                <w:szCs w:val="3"/>
                <w:color w:val="auto"/>
              </w:rPr>
            </w:pPr>
          </w:p>
        </w:tc>
        <w:tc>
          <w:tcPr>
            <w:tcW w:w="200" w:type="dxa"/>
            <w:vAlign w:val="bottom"/>
            <w:tcBorders>
              <w:top w:val="single" w:sz="8" w:color="3051F2"/>
            </w:tcBorders>
          </w:tcPr>
          <w:p>
            <w:pPr>
              <w:spacing w:after="0"/>
              <w:rPr>
                <w:sz w:val="3"/>
                <w:szCs w:val="3"/>
                <w:color w:val="auto"/>
              </w:rPr>
            </w:pPr>
          </w:p>
        </w:tc>
        <w:tc>
          <w:tcPr>
            <w:tcW w:w="340" w:type="dxa"/>
            <w:vAlign w:val="bottom"/>
            <w:tcBorders>
              <w:top w:val="single" w:sz="8" w:color="3051F2"/>
            </w:tcBorders>
          </w:tcPr>
          <w:p>
            <w:pPr>
              <w:spacing w:after="0"/>
              <w:rPr>
                <w:sz w:val="3"/>
                <w:szCs w:val="3"/>
                <w:color w:val="auto"/>
              </w:rPr>
            </w:pPr>
          </w:p>
        </w:tc>
        <w:tc>
          <w:tcPr>
            <w:tcW w:w="220" w:type="dxa"/>
            <w:vAlign w:val="bottom"/>
            <w:tcBorders>
              <w:top w:val="single" w:sz="8" w:color="3051F2"/>
            </w:tcBorders>
          </w:tcPr>
          <w:p>
            <w:pPr>
              <w:spacing w:after="0"/>
              <w:rPr>
                <w:sz w:val="3"/>
                <w:szCs w:val="3"/>
                <w:color w:val="auto"/>
              </w:rPr>
            </w:pPr>
          </w:p>
        </w:tc>
        <w:tc>
          <w:tcPr>
            <w:tcW w:w="20" w:type="dxa"/>
            <w:vAlign w:val="bottom"/>
            <w:tcBorders>
              <w:top w:val="single" w:sz="8" w:color="3051F2"/>
            </w:tcBorders>
          </w:tcPr>
          <w:p>
            <w:pPr>
              <w:spacing w:after="0"/>
              <w:rPr>
                <w:sz w:val="3"/>
                <w:szCs w:val="3"/>
                <w:color w:val="auto"/>
              </w:rPr>
            </w:pPr>
          </w:p>
        </w:tc>
        <w:tc>
          <w:tcPr>
            <w:tcW w:w="340" w:type="dxa"/>
            <w:vAlign w:val="bottom"/>
            <w:tcBorders>
              <w:top w:val="single" w:sz="8" w:color="3051F2"/>
            </w:tcBorders>
          </w:tcPr>
          <w:p>
            <w:pPr>
              <w:spacing w:after="0"/>
              <w:rPr>
                <w:sz w:val="3"/>
                <w:szCs w:val="3"/>
                <w:color w:val="auto"/>
              </w:rPr>
            </w:pPr>
          </w:p>
        </w:tc>
        <w:tc>
          <w:tcPr>
            <w:tcW w:w="20" w:type="dxa"/>
            <w:vAlign w:val="bottom"/>
            <w:tcBorders>
              <w:top w:val="single" w:sz="8" w:color="3051F2"/>
            </w:tcBorders>
          </w:tcPr>
          <w:p>
            <w:pPr>
              <w:spacing w:after="0"/>
              <w:rPr>
                <w:sz w:val="3"/>
                <w:szCs w:val="3"/>
                <w:color w:val="auto"/>
              </w:rPr>
            </w:pPr>
          </w:p>
        </w:tc>
        <w:tc>
          <w:tcPr>
            <w:tcW w:w="260" w:type="dxa"/>
            <w:vAlign w:val="bottom"/>
            <w:tcBorders>
              <w:top w:val="single" w:sz="8" w:color="3051F2"/>
            </w:tcBorders>
          </w:tcPr>
          <w:p>
            <w:pPr>
              <w:spacing w:after="0"/>
              <w:rPr>
                <w:sz w:val="3"/>
                <w:szCs w:val="3"/>
                <w:color w:val="auto"/>
              </w:rPr>
            </w:pPr>
          </w:p>
        </w:tc>
        <w:tc>
          <w:tcPr>
            <w:tcW w:w="160" w:type="dxa"/>
            <w:vAlign w:val="bottom"/>
            <w:tcBorders>
              <w:top w:val="single" w:sz="8" w:color="3051F2"/>
            </w:tcBorders>
          </w:tcPr>
          <w:p>
            <w:pPr>
              <w:spacing w:after="0"/>
              <w:rPr>
                <w:sz w:val="3"/>
                <w:szCs w:val="3"/>
                <w:color w:val="auto"/>
              </w:rPr>
            </w:pPr>
          </w:p>
        </w:tc>
        <w:tc>
          <w:tcPr>
            <w:tcW w:w="80" w:type="dxa"/>
            <w:vAlign w:val="bottom"/>
            <w:tcBorders>
              <w:top w:val="single" w:sz="8" w:color="3051F2"/>
            </w:tcBorders>
          </w:tcPr>
          <w:p>
            <w:pPr>
              <w:spacing w:after="0"/>
              <w:rPr>
                <w:sz w:val="3"/>
                <w:szCs w:val="3"/>
                <w:color w:val="auto"/>
              </w:rPr>
            </w:pPr>
          </w:p>
        </w:tc>
        <w:tc>
          <w:tcPr>
            <w:tcW w:w="400" w:type="dxa"/>
            <w:vAlign w:val="bottom"/>
            <w:tcBorders>
              <w:top w:val="single" w:sz="8" w:color="3051F2"/>
            </w:tcBorders>
          </w:tcPr>
          <w:p>
            <w:pPr>
              <w:spacing w:after="0"/>
              <w:rPr>
                <w:sz w:val="3"/>
                <w:szCs w:val="3"/>
                <w:color w:val="auto"/>
              </w:rPr>
            </w:pPr>
          </w:p>
        </w:tc>
        <w:tc>
          <w:tcPr>
            <w:tcW w:w="600" w:type="dxa"/>
            <w:vAlign w:val="bottom"/>
            <w:tcBorders>
              <w:top w:val="single" w:sz="8" w:color="3051F2"/>
            </w:tcBorders>
          </w:tcPr>
          <w:p>
            <w:pPr>
              <w:spacing w:after="0"/>
              <w:rPr>
                <w:sz w:val="3"/>
                <w:szCs w:val="3"/>
                <w:color w:val="auto"/>
              </w:rPr>
            </w:pPr>
          </w:p>
        </w:tc>
        <w:tc>
          <w:tcPr>
            <w:tcW w:w="220" w:type="dxa"/>
            <w:vAlign w:val="bottom"/>
            <w:tcBorders>
              <w:top w:val="single" w:sz="8" w:color="3051F2"/>
            </w:tcBorders>
          </w:tcPr>
          <w:p>
            <w:pPr>
              <w:spacing w:after="0"/>
              <w:rPr>
                <w:sz w:val="3"/>
                <w:szCs w:val="3"/>
                <w:color w:val="auto"/>
              </w:rPr>
            </w:pPr>
          </w:p>
        </w:tc>
        <w:tc>
          <w:tcPr>
            <w:tcW w:w="180" w:type="dxa"/>
            <w:vAlign w:val="bottom"/>
            <w:tcBorders>
              <w:top w:val="single" w:sz="8" w:color="3051F2"/>
            </w:tcBorders>
          </w:tcPr>
          <w:p>
            <w:pPr>
              <w:spacing w:after="0"/>
              <w:rPr>
                <w:sz w:val="3"/>
                <w:szCs w:val="3"/>
                <w:color w:val="auto"/>
              </w:rPr>
            </w:pPr>
          </w:p>
        </w:tc>
        <w:tc>
          <w:tcPr>
            <w:tcW w:w="100" w:type="dxa"/>
            <w:vAlign w:val="bottom"/>
            <w:tcBorders>
              <w:top w:val="single" w:sz="8" w:color="3051F2"/>
            </w:tcBorders>
          </w:tcPr>
          <w:p>
            <w:pPr>
              <w:spacing w:after="0"/>
              <w:rPr>
                <w:sz w:val="3"/>
                <w:szCs w:val="3"/>
                <w:color w:val="auto"/>
              </w:rPr>
            </w:pPr>
          </w:p>
        </w:tc>
        <w:tc>
          <w:tcPr>
            <w:tcW w:w="20" w:type="dxa"/>
            <w:vAlign w:val="bottom"/>
            <w:tcBorders>
              <w:top w:val="single" w:sz="8" w:color="3051F2"/>
            </w:tcBorders>
          </w:tcPr>
          <w:p>
            <w:pPr>
              <w:spacing w:after="0"/>
              <w:rPr>
                <w:sz w:val="3"/>
                <w:szCs w:val="3"/>
                <w:color w:val="auto"/>
              </w:rPr>
            </w:pPr>
          </w:p>
        </w:tc>
        <w:tc>
          <w:tcPr>
            <w:tcW w:w="920" w:type="dxa"/>
            <w:vAlign w:val="bottom"/>
            <w:tcBorders>
              <w:top w:val="single" w:sz="8" w:color="3051F2"/>
            </w:tcBorders>
          </w:tcPr>
          <w:p>
            <w:pPr>
              <w:spacing w:after="0"/>
              <w:rPr>
                <w:sz w:val="3"/>
                <w:szCs w:val="3"/>
                <w:color w:val="auto"/>
              </w:rPr>
            </w:pPr>
          </w:p>
        </w:tc>
        <w:tc>
          <w:tcPr>
            <w:tcW w:w="720" w:type="dxa"/>
            <w:vAlign w:val="bottom"/>
            <w:tcBorders>
              <w:top w:val="single" w:sz="8" w:color="3051F2"/>
            </w:tcBorders>
          </w:tcPr>
          <w:p>
            <w:pPr>
              <w:spacing w:after="0"/>
              <w:rPr>
                <w:sz w:val="3"/>
                <w:szCs w:val="3"/>
                <w:color w:val="auto"/>
              </w:rPr>
            </w:pPr>
          </w:p>
        </w:tc>
        <w:tc>
          <w:tcPr>
            <w:tcW w:w="2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0" w:type="dxa"/>
            <w:vAlign w:val="bottom"/>
            <w:tcBorders>
              <w:top w:val="single" w:sz="8" w:color="3051F2"/>
            </w:tcBorders>
          </w:tcPr>
          <w:p>
            <w:pPr>
              <w:spacing w:after="0"/>
              <w:rPr>
                <w:sz w:val="3"/>
                <w:szCs w:val="3"/>
                <w:color w:val="auto"/>
              </w:rPr>
            </w:pPr>
          </w:p>
        </w:tc>
        <w:tc>
          <w:tcPr>
            <w:tcW w:w="60" w:type="dxa"/>
            <w:vAlign w:val="bottom"/>
            <w:tcBorders>
              <w:top w:val="single" w:sz="8" w:color="3051F2"/>
            </w:tcBorders>
          </w:tcPr>
          <w:p>
            <w:pPr>
              <w:spacing w:after="0"/>
              <w:rPr>
                <w:sz w:val="3"/>
                <w:szCs w:val="3"/>
                <w:color w:val="auto"/>
              </w:rPr>
            </w:pPr>
          </w:p>
        </w:tc>
        <w:tc>
          <w:tcPr>
            <w:tcW w:w="20" w:type="dxa"/>
            <w:vAlign w:val="bottom"/>
          </w:tcPr>
          <w:p>
            <w:pPr>
              <w:spacing w:after="0"/>
              <w:rPr>
                <w:sz w:val="3"/>
                <w:szCs w:val="3"/>
                <w:color w:val="auto"/>
              </w:rPr>
            </w:pPr>
          </w:p>
        </w:tc>
      </w:tr>
      <w:tr>
        <w:trPr>
          <w:trHeight w:val="159"/>
        </w:trPr>
        <w:tc>
          <w:tcPr>
            <w:tcW w:w="100" w:type="dxa"/>
            <w:vAlign w:val="bottom"/>
            <w:shd w:val="clear" w:color="auto" w:fill="CCEEFF"/>
          </w:tcPr>
          <w:p>
            <w:pPr>
              <w:spacing w:after="0"/>
              <w:rPr>
                <w:sz w:val="13"/>
                <w:szCs w:val="13"/>
                <w:color w:val="auto"/>
              </w:rPr>
            </w:pPr>
          </w:p>
        </w:tc>
        <w:tc>
          <w:tcPr>
            <w:tcW w:w="8360" w:type="dxa"/>
            <w:vAlign w:val="bottom"/>
            <w:gridSpan w:val="21"/>
            <w:shd w:val="clear" w:color="auto" w:fill="CCEEFF"/>
          </w:tcPr>
          <w:p>
            <w:pPr>
              <w:ind w:left="180"/>
              <w:spacing w:after="0" w:line="159" w:lineRule="exact"/>
              <w:rPr>
                <w:sz w:val="20"/>
                <w:szCs w:val="20"/>
                <w:color w:val="auto"/>
              </w:rPr>
            </w:pPr>
            <w:r>
              <w:rPr>
                <w:rFonts w:ascii="Times New Roman" w:cs="Times New Roman" w:eastAsia="Times New Roman" w:hAnsi="Times New Roman"/>
                <w:sz w:val="14"/>
                <w:szCs w:val="14"/>
                <w:color w:val="3051F2"/>
              </w:rPr>
              <w:t>Item 3. Quantitative and Qualitative Disclosures About Market Risk</w:t>
            </w:r>
          </w:p>
        </w:tc>
        <w:tc>
          <w:tcPr>
            <w:tcW w:w="2800" w:type="dxa"/>
            <w:vAlign w:val="bottom"/>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3051F2"/>
              </w:rPr>
              <w:t>41</w:t>
            </w:r>
          </w:p>
        </w:tc>
        <w:tc>
          <w:tcPr>
            <w:tcW w:w="20" w:type="dxa"/>
            <w:vAlign w:val="bottom"/>
            <w:shd w:val="clear" w:color="auto" w:fill="CCEEFF"/>
          </w:tcPr>
          <w:p>
            <w:pPr>
              <w:spacing w:after="0"/>
              <w:rPr>
                <w:sz w:val="13"/>
                <w:szCs w:val="13"/>
                <w:color w:val="auto"/>
              </w:rPr>
            </w:pPr>
          </w:p>
        </w:tc>
      </w:tr>
      <w:tr>
        <w:trPr>
          <w:trHeight w:val="44"/>
        </w:trPr>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3051F2"/>
            </w:tcBorders>
            <w:shd w:val="clear" w:color="auto" w:fill="CCEEFF"/>
          </w:tcPr>
          <w:p>
            <w:pPr>
              <w:spacing w:after="0"/>
              <w:rPr>
                <w:sz w:val="3"/>
                <w:szCs w:val="3"/>
                <w:color w:val="auto"/>
              </w:rPr>
            </w:pPr>
          </w:p>
        </w:tc>
        <w:tc>
          <w:tcPr>
            <w:tcW w:w="260" w:type="dxa"/>
            <w:vAlign w:val="bottom"/>
            <w:tcBorders>
              <w:top w:val="single" w:sz="8" w:color="3051F2"/>
            </w:tcBorders>
            <w:shd w:val="clear" w:color="auto" w:fill="CCEEFF"/>
          </w:tcPr>
          <w:p>
            <w:pPr>
              <w:spacing w:after="0"/>
              <w:rPr>
                <w:sz w:val="3"/>
                <w:szCs w:val="3"/>
                <w:color w:val="auto"/>
              </w:rPr>
            </w:pPr>
          </w:p>
        </w:tc>
        <w:tc>
          <w:tcPr>
            <w:tcW w:w="200" w:type="dxa"/>
            <w:vAlign w:val="bottom"/>
            <w:tcBorders>
              <w:top w:val="single" w:sz="8" w:color="3051F2"/>
            </w:tcBorders>
            <w:shd w:val="clear" w:color="auto" w:fill="CCEEFF"/>
          </w:tcPr>
          <w:p>
            <w:pPr>
              <w:spacing w:after="0"/>
              <w:rPr>
                <w:sz w:val="3"/>
                <w:szCs w:val="3"/>
                <w:color w:val="auto"/>
              </w:rPr>
            </w:pPr>
          </w:p>
        </w:tc>
        <w:tc>
          <w:tcPr>
            <w:tcW w:w="340" w:type="dxa"/>
            <w:vAlign w:val="bottom"/>
            <w:tcBorders>
              <w:top w:val="single" w:sz="8" w:color="3051F2"/>
            </w:tcBorders>
            <w:shd w:val="clear" w:color="auto" w:fill="CCEEFF"/>
          </w:tcPr>
          <w:p>
            <w:pPr>
              <w:spacing w:after="0"/>
              <w:rPr>
                <w:sz w:val="3"/>
                <w:szCs w:val="3"/>
                <w:color w:val="auto"/>
              </w:rPr>
            </w:pPr>
          </w:p>
        </w:tc>
        <w:tc>
          <w:tcPr>
            <w:tcW w:w="22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3051F2"/>
            </w:tcBorders>
            <w:shd w:val="clear" w:color="auto" w:fill="CCEEFF"/>
          </w:tcPr>
          <w:p>
            <w:pPr>
              <w:spacing w:after="0"/>
              <w:rPr>
                <w:sz w:val="3"/>
                <w:szCs w:val="3"/>
                <w:color w:val="auto"/>
              </w:rPr>
            </w:pPr>
          </w:p>
        </w:tc>
        <w:tc>
          <w:tcPr>
            <w:tcW w:w="34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3051F2"/>
            </w:tcBorders>
            <w:shd w:val="clear" w:color="auto" w:fill="CCEEFF"/>
          </w:tcPr>
          <w:p>
            <w:pPr>
              <w:spacing w:after="0"/>
              <w:rPr>
                <w:sz w:val="3"/>
                <w:szCs w:val="3"/>
                <w:color w:val="auto"/>
              </w:rPr>
            </w:pPr>
          </w:p>
        </w:tc>
        <w:tc>
          <w:tcPr>
            <w:tcW w:w="260" w:type="dxa"/>
            <w:vAlign w:val="bottom"/>
            <w:tcBorders>
              <w:top w:val="single" w:sz="8" w:color="3051F2"/>
            </w:tcBorders>
            <w:shd w:val="clear" w:color="auto" w:fill="CCEEFF"/>
          </w:tcPr>
          <w:p>
            <w:pPr>
              <w:spacing w:after="0"/>
              <w:rPr>
                <w:sz w:val="3"/>
                <w:szCs w:val="3"/>
                <w:color w:val="auto"/>
              </w:rPr>
            </w:pPr>
          </w:p>
        </w:tc>
        <w:tc>
          <w:tcPr>
            <w:tcW w:w="160" w:type="dxa"/>
            <w:vAlign w:val="bottom"/>
            <w:tcBorders>
              <w:top w:val="single" w:sz="8" w:color="3051F2"/>
            </w:tcBorders>
            <w:shd w:val="clear" w:color="auto" w:fill="CCEEFF"/>
          </w:tcPr>
          <w:p>
            <w:pPr>
              <w:spacing w:after="0"/>
              <w:rPr>
                <w:sz w:val="3"/>
                <w:szCs w:val="3"/>
                <w:color w:val="auto"/>
              </w:rPr>
            </w:pPr>
          </w:p>
        </w:tc>
        <w:tc>
          <w:tcPr>
            <w:tcW w:w="80" w:type="dxa"/>
            <w:vAlign w:val="bottom"/>
            <w:tcBorders>
              <w:top w:val="single" w:sz="8" w:color="3051F2"/>
            </w:tcBorders>
            <w:shd w:val="clear" w:color="auto" w:fill="CCEEFF"/>
          </w:tcPr>
          <w:p>
            <w:pPr>
              <w:spacing w:after="0"/>
              <w:rPr>
                <w:sz w:val="3"/>
                <w:szCs w:val="3"/>
                <w:color w:val="auto"/>
              </w:rPr>
            </w:pPr>
          </w:p>
        </w:tc>
        <w:tc>
          <w:tcPr>
            <w:tcW w:w="400" w:type="dxa"/>
            <w:vAlign w:val="bottom"/>
            <w:tcBorders>
              <w:top w:val="single" w:sz="8" w:color="3051F2"/>
            </w:tcBorders>
            <w:shd w:val="clear" w:color="auto" w:fill="CCEEFF"/>
          </w:tcPr>
          <w:p>
            <w:pPr>
              <w:spacing w:after="0"/>
              <w:rPr>
                <w:sz w:val="3"/>
                <w:szCs w:val="3"/>
                <w:color w:val="auto"/>
              </w:rPr>
            </w:pPr>
          </w:p>
        </w:tc>
        <w:tc>
          <w:tcPr>
            <w:tcW w:w="600" w:type="dxa"/>
            <w:vAlign w:val="bottom"/>
            <w:tcBorders>
              <w:top w:val="single" w:sz="8" w:color="3051F2"/>
            </w:tcBorders>
            <w:shd w:val="clear" w:color="auto" w:fill="CCEEFF"/>
          </w:tcPr>
          <w:p>
            <w:pPr>
              <w:spacing w:after="0"/>
              <w:rPr>
                <w:sz w:val="3"/>
                <w:szCs w:val="3"/>
                <w:color w:val="auto"/>
              </w:rPr>
            </w:pPr>
          </w:p>
        </w:tc>
        <w:tc>
          <w:tcPr>
            <w:tcW w:w="220" w:type="dxa"/>
            <w:vAlign w:val="bottom"/>
            <w:tcBorders>
              <w:top w:val="single" w:sz="8" w:color="3051F2"/>
            </w:tcBorders>
            <w:shd w:val="clear" w:color="auto" w:fill="CCEEFF"/>
          </w:tcPr>
          <w:p>
            <w:pPr>
              <w:spacing w:after="0"/>
              <w:rPr>
                <w:sz w:val="3"/>
                <w:szCs w:val="3"/>
                <w:color w:val="auto"/>
              </w:rPr>
            </w:pPr>
          </w:p>
        </w:tc>
        <w:tc>
          <w:tcPr>
            <w:tcW w:w="180" w:type="dxa"/>
            <w:vAlign w:val="bottom"/>
            <w:tcBorders>
              <w:top w:val="single" w:sz="8" w:color="3051F2"/>
            </w:tcBorders>
            <w:shd w:val="clear" w:color="auto" w:fill="CCEEFF"/>
          </w:tcPr>
          <w:p>
            <w:pPr>
              <w:spacing w:after="0"/>
              <w:rPr>
                <w:sz w:val="3"/>
                <w:szCs w:val="3"/>
                <w:color w:val="auto"/>
              </w:rPr>
            </w:pPr>
          </w:p>
        </w:tc>
        <w:tc>
          <w:tcPr>
            <w:tcW w:w="10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3051F2"/>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680" w:type="dxa"/>
            <w:vAlign w:val="bottom"/>
            <w:tcBorders>
              <w:top w:val="single" w:sz="8" w:color="CCEEFF"/>
            </w:tcBorders>
            <w:shd w:val="clear" w:color="auto" w:fill="CCEEFF"/>
          </w:tcPr>
          <w:p>
            <w:pPr>
              <w:spacing w:after="0"/>
              <w:rPr>
                <w:sz w:val="3"/>
                <w:szCs w:val="3"/>
                <w:color w:val="auto"/>
              </w:rPr>
            </w:pPr>
          </w:p>
        </w:tc>
        <w:tc>
          <w:tcPr>
            <w:tcW w:w="26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3051F2"/>
            </w:tcBorders>
            <w:shd w:val="clear" w:color="auto" w:fill="CCEEFF"/>
          </w:tcPr>
          <w:p>
            <w:pPr>
              <w:spacing w:after="0"/>
              <w:rPr>
                <w:sz w:val="3"/>
                <w:szCs w:val="3"/>
                <w:color w:val="auto"/>
              </w:rPr>
            </w:pPr>
          </w:p>
        </w:tc>
        <w:tc>
          <w:tcPr>
            <w:tcW w:w="6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59"/>
        </w:trPr>
        <w:tc>
          <w:tcPr>
            <w:tcW w:w="100" w:type="dxa"/>
            <w:vAlign w:val="bottom"/>
          </w:tcPr>
          <w:p>
            <w:pPr>
              <w:spacing w:after="0"/>
              <w:rPr>
                <w:sz w:val="13"/>
                <w:szCs w:val="13"/>
                <w:color w:val="auto"/>
              </w:rPr>
            </w:pPr>
          </w:p>
        </w:tc>
        <w:tc>
          <w:tcPr>
            <w:tcW w:w="8360" w:type="dxa"/>
            <w:vAlign w:val="bottom"/>
            <w:gridSpan w:val="21"/>
          </w:tcPr>
          <w:p>
            <w:pPr>
              <w:ind w:left="180"/>
              <w:spacing w:after="0" w:line="159" w:lineRule="exact"/>
              <w:rPr>
                <w:sz w:val="20"/>
                <w:szCs w:val="20"/>
                <w:color w:val="auto"/>
              </w:rPr>
            </w:pPr>
            <w:r>
              <w:rPr>
                <w:rFonts w:ascii="Times New Roman" w:cs="Times New Roman" w:eastAsia="Times New Roman" w:hAnsi="Times New Roman"/>
                <w:sz w:val="14"/>
                <w:szCs w:val="14"/>
                <w:color w:val="3051F2"/>
              </w:rPr>
              <w:t>Item 4. Controls and Procedures</w:t>
            </w:r>
          </w:p>
        </w:tc>
        <w:tc>
          <w:tcPr>
            <w:tcW w:w="280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3051F2"/>
              </w:rPr>
              <w:t>42</w:t>
            </w:r>
          </w:p>
        </w:tc>
        <w:tc>
          <w:tcPr>
            <w:tcW w:w="20" w:type="dxa"/>
            <w:vAlign w:val="bottom"/>
          </w:tcPr>
          <w:p>
            <w:pPr>
              <w:spacing w:after="0"/>
              <w:rPr>
                <w:sz w:val="13"/>
                <w:szCs w:val="13"/>
                <w:color w:val="auto"/>
              </w:rPr>
            </w:pPr>
          </w:p>
        </w:tc>
      </w:tr>
      <w:tr>
        <w:trPr>
          <w:trHeight w:val="44"/>
        </w:trPr>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Borders>
              <w:top w:val="single" w:sz="8" w:color="3051F2"/>
            </w:tcBorders>
          </w:tcPr>
          <w:p>
            <w:pPr>
              <w:spacing w:after="0"/>
              <w:rPr>
                <w:sz w:val="3"/>
                <w:szCs w:val="3"/>
                <w:color w:val="auto"/>
              </w:rPr>
            </w:pPr>
          </w:p>
        </w:tc>
        <w:tc>
          <w:tcPr>
            <w:tcW w:w="260" w:type="dxa"/>
            <w:vAlign w:val="bottom"/>
            <w:tcBorders>
              <w:top w:val="single" w:sz="8" w:color="3051F2"/>
            </w:tcBorders>
          </w:tcPr>
          <w:p>
            <w:pPr>
              <w:spacing w:after="0"/>
              <w:rPr>
                <w:sz w:val="3"/>
                <w:szCs w:val="3"/>
                <w:color w:val="auto"/>
              </w:rPr>
            </w:pPr>
          </w:p>
        </w:tc>
        <w:tc>
          <w:tcPr>
            <w:tcW w:w="200" w:type="dxa"/>
            <w:vAlign w:val="bottom"/>
            <w:tcBorders>
              <w:top w:val="single" w:sz="8" w:color="3051F2"/>
            </w:tcBorders>
          </w:tcPr>
          <w:p>
            <w:pPr>
              <w:spacing w:after="0"/>
              <w:rPr>
                <w:sz w:val="3"/>
                <w:szCs w:val="3"/>
                <w:color w:val="auto"/>
              </w:rPr>
            </w:pPr>
          </w:p>
        </w:tc>
        <w:tc>
          <w:tcPr>
            <w:tcW w:w="340" w:type="dxa"/>
            <w:vAlign w:val="bottom"/>
            <w:tcBorders>
              <w:top w:val="single" w:sz="8" w:color="3051F2"/>
            </w:tcBorders>
          </w:tcPr>
          <w:p>
            <w:pPr>
              <w:spacing w:after="0"/>
              <w:rPr>
                <w:sz w:val="3"/>
                <w:szCs w:val="3"/>
                <w:color w:val="auto"/>
              </w:rPr>
            </w:pPr>
          </w:p>
        </w:tc>
        <w:tc>
          <w:tcPr>
            <w:tcW w:w="220" w:type="dxa"/>
            <w:vAlign w:val="bottom"/>
            <w:tcBorders>
              <w:top w:val="single" w:sz="8" w:color="3051F2"/>
            </w:tcBorders>
          </w:tcPr>
          <w:p>
            <w:pPr>
              <w:spacing w:after="0"/>
              <w:rPr>
                <w:sz w:val="3"/>
                <w:szCs w:val="3"/>
                <w:color w:val="auto"/>
              </w:rPr>
            </w:pPr>
          </w:p>
        </w:tc>
        <w:tc>
          <w:tcPr>
            <w:tcW w:w="20" w:type="dxa"/>
            <w:vAlign w:val="bottom"/>
            <w:tcBorders>
              <w:top w:val="single" w:sz="8" w:color="3051F2"/>
            </w:tcBorders>
          </w:tcPr>
          <w:p>
            <w:pPr>
              <w:spacing w:after="0"/>
              <w:rPr>
                <w:sz w:val="3"/>
                <w:szCs w:val="3"/>
                <w:color w:val="auto"/>
              </w:rPr>
            </w:pPr>
          </w:p>
        </w:tc>
        <w:tc>
          <w:tcPr>
            <w:tcW w:w="340" w:type="dxa"/>
            <w:vAlign w:val="bottom"/>
            <w:tcBorders>
              <w:top w:val="single" w:sz="8" w:color="3051F2"/>
            </w:tcBorders>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0" w:type="dxa"/>
            <w:vAlign w:val="bottom"/>
            <w:tcBorders>
              <w:top w:val="single" w:sz="8" w:color="3051F2"/>
            </w:tcBorders>
          </w:tcPr>
          <w:p>
            <w:pPr>
              <w:spacing w:after="0"/>
              <w:rPr>
                <w:sz w:val="3"/>
                <w:szCs w:val="3"/>
                <w:color w:val="auto"/>
              </w:rPr>
            </w:pPr>
          </w:p>
        </w:tc>
        <w:tc>
          <w:tcPr>
            <w:tcW w:w="60" w:type="dxa"/>
            <w:vAlign w:val="bottom"/>
            <w:tcBorders>
              <w:top w:val="single" w:sz="8" w:color="3051F2"/>
            </w:tcBorders>
          </w:tcPr>
          <w:p>
            <w:pPr>
              <w:spacing w:after="0"/>
              <w:rPr>
                <w:sz w:val="3"/>
                <w:szCs w:val="3"/>
                <w:color w:val="auto"/>
              </w:rPr>
            </w:pPr>
          </w:p>
        </w:tc>
        <w:tc>
          <w:tcPr>
            <w:tcW w:w="20" w:type="dxa"/>
            <w:vAlign w:val="bottom"/>
          </w:tcPr>
          <w:p>
            <w:pPr>
              <w:spacing w:after="0"/>
              <w:rPr>
                <w:sz w:val="3"/>
                <w:szCs w:val="3"/>
                <w:color w:val="auto"/>
              </w:rPr>
            </w:pPr>
          </w:p>
        </w:tc>
      </w:tr>
      <w:tr>
        <w:trPr>
          <w:trHeight w:val="159"/>
        </w:trPr>
        <w:tc>
          <w:tcPr>
            <w:tcW w:w="100" w:type="dxa"/>
            <w:vAlign w:val="bottom"/>
            <w:shd w:val="clear" w:color="auto" w:fill="CCEEFF"/>
          </w:tcPr>
          <w:p>
            <w:pPr>
              <w:spacing w:after="0"/>
              <w:rPr>
                <w:sz w:val="13"/>
                <w:szCs w:val="13"/>
                <w:color w:val="auto"/>
              </w:rPr>
            </w:pPr>
          </w:p>
        </w:tc>
        <w:tc>
          <w:tcPr>
            <w:tcW w:w="8360" w:type="dxa"/>
            <w:vAlign w:val="bottom"/>
            <w:gridSpan w:val="21"/>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3051F2"/>
              </w:rPr>
              <w:t>PART II. OTHER INFORMATION</w:t>
            </w:r>
          </w:p>
        </w:tc>
        <w:tc>
          <w:tcPr>
            <w:tcW w:w="2800" w:type="dxa"/>
            <w:vAlign w:val="bottom"/>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3051F2"/>
              </w:rPr>
              <w:t>43</w:t>
            </w:r>
          </w:p>
        </w:tc>
        <w:tc>
          <w:tcPr>
            <w:tcW w:w="20" w:type="dxa"/>
            <w:vAlign w:val="bottom"/>
            <w:shd w:val="clear" w:color="auto" w:fill="CCEEFF"/>
          </w:tcPr>
          <w:p>
            <w:pPr>
              <w:spacing w:after="0"/>
              <w:rPr>
                <w:sz w:val="13"/>
                <w:szCs w:val="13"/>
                <w:color w:val="auto"/>
              </w:rPr>
            </w:pPr>
          </w:p>
        </w:tc>
      </w:tr>
      <w:tr>
        <w:trPr>
          <w:trHeight w:val="44"/>
        </w:trPr>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3051F2"/>
            </w:tcBorders>
            <w:shd w:val="clear" w:color="auto" w:fill="CCEEFF"/>
          </w:tcPr>
          <w:p>
            <w:pPr>
              <w:spacing w:after="0"/>
              <w:rPr>
                <w:sz w:val="3"/>
                <w:szCs w:val="3"/>
                <w:color w:val="auto"/>
              </w:rPr>
            </w:pPr>
          </w:p>
        </w:tc>
        <w:tc>
          <w:tcPr>
            <w:tcW w:w="440" w:type="dxa"/>
            <w:vAlign w:val="bottom"/>
            <w:tcBorders>
              <w:top w:val="single" w:sz="8" w:color="3051F2"/>
            </w:tcBorders>
            <w:shd w:val="clear" w:color="auto" w:fill="CCEEFF"/>
          </w:tcPr>
          <w:p>
            <w:pPr>
              <w:spacing w:after="0"/>
              <w:rPr>
                <w:sz w:val="3"/>
                <w:szCs w:val="3"/>
                <w:color w:val="auto"/>
              </w:rPr>
            </w:pPr>
          </w:p>
        </w:tc>
        <w:tc>
          <w:tcPr>
            <w:tcW w:w="260" w:type="dxa"/>
            <w:vAlign w:val="bottom"/>
            <w:tcBorders>
              <w:top w:val="single" w:sz="8" w:color="3051F2"/>
            </w:tcBorders>
            <w:shd w:val="clear" w:color="auto" w:fill="CCEEFF"/>
          </w:tcPr>
          <w:p>
            <w:pPr>
              <w:spacing w:after="0"/>
              <w:rPr>
                <w:sz w:val="3"/>
                <w:szCs w:val="3"/>
                <w:color w:val="auto"/>
              </w:rPr>
            </w:pPr>
          </w:p>
        </w:tc>
        <w:tc>
          <w:tcPr>
            <w:tcW w:w="200" w:type="dxa"/>
            <w:vAlign w:val="bottom"/>
            <w:tcBorders>
              <w:top w:val="single" w:sz="8" w:color="3051F2"/>
            </w:tcBorders>
            <w:shd w:val="clear" w:color="auto" w:fill="CCEEFF"/>
          </w:tcPr>
          <w:p>
            <w:pPr>
              <w:spacing w:after="0"/>
              <w:rPr>
                <w:sz w:val="3"/>
                <w:szCs w:val="3"/>
                <w:color w:val="auto"/>
              </w:rPr>
            </w:pPr>
          </w:p>
        </w:tc>
        <w:tc>
          <w:tcPr>
            <w:tcW w:w="340" w:type="dxa"/>
            <w:vAlign w:val="bottom"/>
            <w:tcBorders>
              <w:top w:val="single" w:sz="8" w:color="3051F2"/>
            </w:tcBorders>
            <w:shd w:val="clear" w:color="auto" w:fill="CCEEFF"/>
          </w:tcPr>
          <w:p>
            <w:pPr>
              <w:spacing w:after="0"/>
              <w:rPr>
                <w:sz w:val="3"/>
                <w:szCs w:val="3"/>
                <w:color w:val="auto"/>
              </w:rPr>
            </w:pPr>
          </w:p>
        </w:tc>
        <w:tc>
          <w:tcPr>
            <w:tcW w:w="22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3051F2"/>
            </w:tcBorders>
            <w:shd w:val="clear" w:color="auto" w:fill="CCEEFF"/>
          </w:tcPr>
          <w:p>
            <w:pPr>
              <w:spacing w:after="0"/>
              <w:rPr>
                <w:sz w:val="3"/>
                <w:szCs w:val="3"/>
                <w:color w:val="auto"/>
              </w:rPr>
            </w:pPr>
          </w:p>
        </w:tc>
        <w:tc>
          <w:tcPr>
            <w:tcW w:w="34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3051F2"/>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680" w:type="dxa"/>
            <w:vAlign w:val="bottom"/>
            <w:tcBorders>
              <w:top w:val="single" w:sz="8" w:color="CCEEFF"/>
            </w:tcBorders>
            <w:shd w:val="clear" w:color="auto" w:fill="CCEEFF"/>
          </w:tcPr>
          <w:p>
            <w:pPr>
              <w:spacing w:after="0"/>
              <w:rPr>
                <w:sz w:val="3"/>
                <w:szCs w:val="3"/>
                <w:color w:val="auto"/>
              </w:rPr>
            </w:pPr>
          </w:p>
        </w:tc>
        <w:tc>
          <w:tcPr>
            <w:tcW w:w="26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3051F2"/>
            </w:tcBorders>
            <w:shd w:val="clear" w:color="auto" w:fill="CCEEFF"/>
          </w:tcPr>
          <w:p>
            <w:pPr>
              <w:spacing w:after="0"/>
              <w:rPr>
                <w:sz w:val="3"/>
                <w:szCs w:val="3"/>
                <w:color w:val="auto"/>
              </w:rPr>
            </w:pPr>
          </w:p>
        </w:tc>
        <w:tc>
          <w:tcPr>
            <w:tcW w:w="6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59"/>
        </w:trPr>
        <w:tc>
          <w:tcPr>
            <w:tcW w:w="100" w:type="dxa"/>
            <w:vAlign w:val="bottom"/>
          </w:tcPr>
          <w:p>
            <w:pPr>
              <w:spacing w:after="0"/>
              <w:rPr>
                <w:sz w:val="13"/>
                <w:szCs w:val="13"/>
                <w:color w:val="auto"/>
              </w:rPr>
            </w:pPr>
          </w:p>
        </w:tc>
        <w:tc>
          <w:tcPr>
            <w:tcW w:w="2020" w:type="dxa"/>
            <w:vAlign w:val="bottom"/>
            <w:gridSpan w:val="9"/>
          </w:tcPr>
          <w:p>
            <w:pPr>
              <w:ind w:left="180"/>
              <w:spacing w:after="0" w:line="159" w:lineRule="exact"/>
              <w:rPr>
                <w:sz w:val="20"/>
                <w:szCs w:val="20"/>
                <w:color w:val="auto"/>
              </w:rPr>
            </w:pPr>
            <w:r>
              <w:rPr>
                <w:rFonts w:ascii="Times New Roman" w:cs="Times New Roman" w:eastAsia="Times New Roman" w:hAnsi="Times New Roman"/>
                <w:sz w:val="14"/>
                <w:szCs w:val="14"/>
                <w:color w:val="3051F2"/>
              </w:rPr>
              <w:t>Item 1. Legal Proceedings</w:t>
            </w:r>
          </w:p>
        </w:tc>
        <w:tc>
          <w:tcPr>
            <w:tcW w:w="6340" w:type="dxa"/>
            <w:vAlign w:val="bottom"/>
            <w:gridSpan w:val="12"/>
          </w:tcPr>
          <w:p>
            <w:pPr>
              <w:spacing w:after="0"/>
              <w:rPr>
                <w:sz w:val="13"/>
                <w:szCs w:val="13"/>
                <w:color w:val="auto"/>
              </w:rPr>
            </w:pPr>
          </w:p>
        </w:tc>
        <w:tc>
          <w:tcPr>
            <w:tcW w:w="280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3051F2"/>
              </w:rPr>
              <w:t>43</w:t>
            </w:r>
          </w:p>
        </w:tc>
        <w:tc>
          <w:tcPr>
            <w:tcW w:w="20" w:type="dxa"/>
            <w:vAlign w:val="bottom"/>
          </w:tcPr>
          <w:p>
            <w:pPr>
              <w:spacing w:after="0"/>
              <w:rPr>
                <w:sz w:val="13"/>
                <w:szCs w:val="13"/>
                <w:color w:val="auto"/>
              </w:rPr>
            </w:pPr>
          </w:p>
        </w:tc>
      </w:tr>
      <w:tr>
        <w:trPr>
          <w:trHeight w:val="44"/>
        </w:trPr>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Borders>
              <w:top w:val="single" w:sz="8" w:color="3051F2"/>
            </w:tcBorders>
          </w:tcPr>
          <w:p>
            <w:pPr>
              <w:spacing w:after="0"/>
              <w:rPr>
                <w:sz w:val="3"/>
                <w:szCs w:val="3"/>
                <w:color w:val="auto"/>
              </w:rPr>
            </w:pPr>
          </w:p>
        </w:tc>
        <w:tc>
          <w:tcPr>
            <w:tcW w:w="260" w:type="dxa"/>
            <w:vAlign w:val="bottom"/>
            <w:tcBorders>
              <w:top w:val="single" w:sz="8" w:color="3051F2"/>
            </w:tcBorders>
          </w:tcPr>
          <w:p>
            <w:pPr>
              <w:spacing w:after="0"/>
              <w:rPr>
                <w:sz w:val="3"/>
                <w:szCs w:val="3"/>
                <w:color w:val="auto"/>
              </w:rPr>
            </w:pPr>
          </w:p>
        </w:tc>
        <w:tc>
          <w:tcPr>
            <w:tcW w:w="200" w:type="dxa"/>
            <w:vAlign w:val="bottom"/>
            <w:tcBorders>
              <w:top w:val="single" w:sz="8" w:color="3051F2"/>
            </w:tcBorders>
          </w:tcPr>
          <w:p>
            <w:pPr>
              <w:spacing w:after="0"/>
              <w:rPr>
                <w:sz w:val="3"/>
                <w:szCs w:val="3"/>
                <w:color w:val="auto"/>
              </w:rPr>
            </w:pPr>
          </w:p>
        </w:tc>
        <w:tc>
          <w:tcPr>
            <w:tcW w:w="340" w:type="dxa"/>
            <w:vAlign w:val="bottom"/>
            <w:tcBorders>
              <w:top w:val="single" w:sz="8" w:color="3051F2"/>
            </w:tcBorders>
          </w:tcPr>
          <w:p>
            <w:pPr>
              <w:spacing w:after="0"/>
              <w:rPr>
                <w:sz w:val="3"/>
                <w:szCs w:val="3"/>
                <w:color w:val="auto"/>
              </w:rPr>
            </w:pPr>
          </w:p>
        </w:tc>
        <w:tc>
          <w:tcPr>
            <w:tcW w:w="220" w:type="dxa"/>
            <w:vAlign w:val="bottom"/>
            <w:tcBorders>
              <w:top w:val="single" w:sz="8" w:color="3051F2"/>
            </w:tcBorders>
          </w:tcPr>
          <w:p>
            <w:pPr>
              <w:spacing w:after="0"/>
              <w:rPr>
                <w:sz w:val="3"/>
                <w:szCs w:val="3"/>
                <w:color w:val="auto"/>
              </w:rPr>
            </w:pPr>
          </w:p>
        </w:tc>
        <w:tc>
          <w:tcPr>
            <w:tcW w:w="20" w:type="dxa"/>
            <w:vAlign w:val="bottom"/>
            <w:tcBorders>
              <w:top w:val="single" w:sz="8" w:color="3051F2"/>
            </w:tcBorders>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0" w:type="dxa"/>
            <w:vAlign w:val="bottom"/>
            <w:tcBorders>
              <w:top w:val="single" w:sz="8" w:color="3051F2"/>
            </w:tcBorders>
          </w:tcPr>
          <w:p>
            <w:pPr>
              <w:spacing w:after="0"/>
              <w:rPr>
                <w:sz w:val="3"/>
                <w:szCs w:val="3"/>
                <w:color w:val="auto"/>
              </w:rPr>
            </w:pPr>
          </w:p>
        </w:tc>
        <w:tc>
          <w:tcPr>
            <w:tcW w:w="60" w:type="dxa"/>
            <w:vAlign w:val="bottom"/>
            <w:tcBorders>
              <w:top w:val="single" w:sz="8" w:color="3051F2"/>
            </w:tcBorders>
          </w:tcPr>
          <w:p>
            <w:pPr>
              <w:spacing w:after="0"/>
              <w:rPr>
                <w:sz w:val="3"/>
                <w:szCs w:val="3"/>
                <w:color w:val="auto"/>
              </w:rPr>
            </w:pPr>
          </w:p>
        </w:tc>
        <w:tc>
          <w:tcPr>
            <w:tcW w:w="20" w:type="dxa"/>
            <w:vAlign w:val="bottom"/>
          </w:tcPr>
          <w:p>
            <w:pPr>
              <w:spacing w:after="0"/>
              <w:rPr>
                <w:sz w:val="3"/>
                <w:szCs w:val="3"/>
                <w:color w:val="auto"/>
              </w:rPr>
            </w:pPr>
          </w:p>
        </w:tc>
      </w:tr>
      <w:tr>
        <w:trPr>
          <w:trHeight w:val="159"/>
        </w:trPr>
        <w:tc>
          <w:tcPr>
            <w:tcW w:w="100" w:type="dxa"/>
            <w:vAlign w:val="bottom"/>
            <w:shd w:val="clear" w:color="auto" w:fill="CCEEFF"/>
          </w:tcPr>
          <w:p>
            <w:pPr>
              <w:spacing w:after="0"/>
              <w:rPr>
                <w:sz w:val="13"/>
                <w:szCs w:val="13"/>
                <w:color w:val="auto"/>
              </w:rPr>
            </w:pPr>
          </w:p>
        </w:tc>
        <w:tc>
          <w:tcPr>
            <w:tcW w:w="8360" w:type="dxa"/>
            <w:vAlign w:val="bottom"/>
            <w:gridSpan w:val="21"/>
            <w:shd w:val="clear" w:color="auto" w:fill="CCEEFF"/>
          </w:tcPr>
          <w:p>
            <w:pPr>
              <w:ind w:left="180"/>
              <w:spacing w:after="0" w:line="159" w:lineRule="exact"/>
              <w:rPr>
                <w:sz w:val="20"/>
                <w:szCs w:val="20"/>
                <w:color w:val="auto"/>
              </w:rPr>
            </w:pPr>
            <w:r>
              <w:rPr>
                <w:rFonts w:ascii="Times New Roman" w:cs="Times New Roman" w:eastAsia="Times New Roman" w:hAnsi="Times New Roman"/>
                <w:sz w:val="14"/>
                <w:szCs w:val="14"/>
                <w:color w:val="3051F2"/>
              </w:rPr>
              <w:t>Item 1A. Risk Factors</w:t>
            </w:r>
          </w:p>
        </w:tc>
        <w:tc>
          <w:tcPr>
            <w:tcW w:w="2800" w:type="dxa"/>
            <w:vAlign w:val="bottom"/>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3051F2"/>
              </w:rPr>
              <w:t>43</w:t>
            </w:r>
          </w:p>
        </w:tc>
        <w:tc>
          <w:tcPr>
            <w:tcW w:w="20" w:type="dxa"/>
            <w:vAlign w:val="bottom"/>
            <w:shd w:val="clear" w:color="auto" w:fill="CCEEFF"/>
          </w:tcPr>
          <w:p>
            <w:pPr>
              <w:spacing w:after="0"/>
              <w:rPr>
                <w:sz w:val="13"/>
                <w:szCs w:val="13"/>
                <w:color w:val="auto"/>
              </w:rPr>
            </w:pPr>
          </w:p>
        </w:tc>
      </w:tr>
      <w:tr>
        <w:trPr>
          <w:trHeight w:val="44"/>
        </w:trPr>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3051F2"/>
            </w:tcBorders>
            <w:shd w:val="clear" w:color="auto" w:fill="CCEEFF"/>
          </w:tcPr>
          <w:p>
            <w:pPr>
              <w:spacing w:after="0"/>
              <w:rPr>
                <w:sz w:val="3"/>
                <w:szCs w:val="3"/>
                <w:color w:val="auto"/>
              </w:rPr>
            </w:pPr>
          </w:p>
        </w:tc>
        <w:tc>
          <w:tcPr>
            <w:tcW w:w="260" w:type="dxa"/>
            <w:vAlign w:val="bottom"/>
            <w:tcBorders>
              <w:top w:val="single" w:sz="8" w:color="3051F2"/>
            </w:tcBorders>
            <w:shd w:val="clear" w:color="auto" w:fill="CCEEFF"/>
          </w:tcPr>
          <w:p>
            <w:pPr>
              <w:spacing w:after="0"/>
              <w:rPr>
                <w:sz w:val="3"/>
                <w:szCs w:val="3"/>
                <w:color w:val="auto"/>
              </w:rPr>
            </w:pPr>
          </w:p>
        </w:tc>
        <w:tc>
          <w:tcPr>
            <w:tcW w:w="200" w:type="dxa"/>
            <w:vAlign w:val="bottom"/>
            <w:tcBorders>
              <w:top w:val="single" w:sz="8" w:color="3051F2"/>
            </w:tcBorders>
            <w:shd w:val="clear" w:color="auto" w:fill="CCEEFF"/>
          </w:tcPr>
          <w:p>
            <w:pPr>
              <w:spacing w:after="0"/>
              <w:rPr>
                <w:sz w:val="3"/>
                <w:szCs w:val="3"/>
                <w:color w:val="auto"/>
              </w:rPr>
            </w:pPr>
          </w:p>
        </w:tc>
        <w:tc>
          <w:tcPr>
            <w:tcW w:w="340" w:type="dxa"/>
            <w:vAlign w:val="bottom"/>
            <w:tcBorders>
              <w:top w:val="single" w:sz="8" w:color="3051F2"/>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680" w:type="dxa"/>
            <w:vAlign w:val="bottom"/>
            <w:tcBorders>
              <w:top w:val="single" w:sz="8" w:color="CCEEFF"/>
            </w:tcBorders>
            <w:shd w:val="clear" w:color="auto" w:fill="CCEEFF"/>
          </w:tcPr>
          <w:p>
            <w:pPr>
              <w:spacing w:after="0"/>
              <w:rPr>
                <w:sz w:val="3"/>
                <w:szCs w:val="3"/>
                <w:color w:val="auto"/>
              </w:rPr>
            </w:pPr>
          </w:p>
        </w:tc>
        <w:tc>
          <w:tcPr>
            <w:tcW w:w="26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3051F2"/>
            </w:tcBorders>
            <w:shd w:val="clear" w:color="auto" w:fill="CCEEFF"/>
          </w:tcPr>
          <w:p>
            <w:pPr>
              <w:spacing w:after="0"/>
              <w:rPr>
                <w:sz w:val="3"/>
                <w:szCs w:val="3"/>
                <w:color w:val="auto"/>
              </w:rPr>
            </w:pPr>
          </w:p>
        </w:tc>
        <w:tc>
          <w:tcPr>
            <w:tcW w:w="6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59"/>
        </w:trPr>
        <w:tc>
          <w:tcPr>
            <w:tcW w:w="100" w:type="dxa"/>
            <w:vAlign w:val="bottom"/>
          </w:tcPr>
          <w:p>
            <w:pPr>
              <w:spacing w:after="0"/>
              <w:rPr>
                <w:sz w:val="13"/>
                <w:szCs w:val="13"/>
                <w:color w:val="auto"/>
              </w:rPr>
            </w:pPr>
          </w:p>
        </w:tc>
        <w:tc>
          <w:tcPr>
            <w:tcW w:w="8360" w:type="dxa"/>
            <w:vAlign w:val="bottom"/>
            <w:gridSpan w:val="21"/>
          </w:tcPr>
          <w:p>
            <w:pPr>
              <w:ind w:left="180"/>
              <w:spacing w:after="0" w:line="159" w:lineRule="exact"/>
              <w:rPr>
                <w:sz w:val="20"/>
                <w:szCs w:val="20"/>
                <w:color w:val="auto"/>
              </w:rPr>
            </w:pPr>
            <w:r>
              <w:rPr>
                <w:rFonts w:ascii="Times New Roman" w:cs="Times New Roman" w:eastAsia="Times New Roman" w:hAnsi="Times New Roman"/>
                <w:sz w:val="14"/>
                <w:szCs w:val="14"/>
                <w:color w:val="3051F2"/>
              </w:rPr>
              <w:t>Item 2. Unregistered Sales of Equity Securities and Use of Proceeds</w:t>
            </w:r>
          </w:p>
        </w:tc>
        <w:tc>
          <w:tcPr>
            <w:tcW w:w="280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3051F2"/>
              </w:rPr>
              <w:t>44</w:t>
            </w:r>
          </w:p>
        </w:tc>
        <w:tc>
          <w:tcPr>
            <w:tcW w:w="20" w:type="dxa"/>
            <w:vAlign w:val="bottom"/>
          </w:tcPr>
          <w:p>
            <w:pPr>
              <w:spacing w:after="0"/>
              <w:rPr>
                <w:sz w:val="13"/>
                <w:szCs w:val="13"/>
                <w:color w:val="auto"/>
              </w:rPr>
            </w:pPr>
          </w:p>
        </w:tc>
      </w:tr>
      <w:tr>
        <w:trPr>
          <w:trHeight w:val="44"/>
        </w:trPr>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Borders>
              <w:top w:val="single" w:sz="8" w:color="3051F2"/>
            </w:tcBorders>
          </w:tcPr>
          <w:p>
            <w:pPr>
              <w:spacing w:after="0"/>
              <w:rPr>
                <w:sz w:val="3"/>
                <w:szCs w:val="3"/>
                <w:color w:val="auto"/>
              </w:rPr>
            </w:pPr>
          </w:p>
        </w:tc>
        <w:tc>
          <w:tcPr>
            <w:tcW w:w="260" w:type="dxa"/>
            <w:vAlign w:val="bottom"/>
            <w:tcBorders>
              <w:top w:val="single" w:sz="8" w:color="3051F2"/>
            </w:tcBorders>
          </w:tcPr>
          <w:p>
            <w:pPr>
              <w:spacing w:after="0"/>
              <w:rPr>
                <w:sz w:val="3"/>
                <w:szCs w:val="3"/>
                <w:color w:val="auto"/>
              </w:rPr>
            </w:pPr>
          </w:p>
        </w:tc>
        <w:tc>
          <w:tcPr>
            <w:tcW w:w="200" w:type="dxa"/>
            <w:vAlign w:val="bottom"/>
            <w:tcBorders>
              <w:top w:val="single" w:sz="8" w:color="3051F2"/>
            </w:tcBorders>
          </w:tcPr>
          <w:p>
            <w:pPr>
              <w:spacing w:after="0"/>
              <w:rPr>
                <w:sz w:val="3"/>
                <w:szCs w:val="3"/>
                <w:color w:val="auto"/>
              </w:rPr>
            </w:pPr>
          </w:p>
        </w:tc>
        <w:tc>
          <w:tcPr>
            <w:tcW w:w="340" w:type="dxa"/>
            <w:vAlign w:val="bottom"/>
            <w:tcBorders>
              <w:top w:val="single" w:sz="8" w:color="3051F2"/>
            </w:tcBorders>
          </w:tcPr>
          <w:p>
            <w:pPr>
              <w:spacing w:after="0"/>
              <w:rPr>
                <w:sz w:val="3"/>
                <w:szCs w:val="3"/>
                <w:color w:val="auto"/>
              </w:rPr>
            </w:pPr>
          </w:p>
        </w:tc>
        <w:tc>
          <w:tcPr>
            <w:tcW w:w="220" w:type="dxa"/>
            <w:vAlign w:val="bottom"/>
            <w:tcBorders>
              <w:top w:val="single" w:sz="8" w:color="3051F2"/>
            </w:tcBorders>
          </w:tcPr>
          <w:p>
            <w:pPr>
              <w:spacing w:after="0"/>
              <w:rPr>
                <w:sz w:val="3"/>
                <w:szCs w:val="3"/>
                <w:color w:val="auto"/>
              </w:rPr>
            </w:pPr>
          </w:p>
        </w:tc>
        <w:tc>
          <w:tcPr>
            <w:tcW w:w="20" w:type="dxa"/>
            <w:vAlign w:val="bottom"/>
            <w:tcBorders>
              <w:top w:val="single" w:sz="8" w:color="3051F2"/>
            </w:tcBorders>
          </w:tcPr>
          <w:p>
            <w:pPr>
              <w:spacing w:after="0"/>
              <w:rPr>
                <w:sz w:val="3"/>
                <w:szCs w:val="3"/>
                <w:color w:val="auto"/>
              </w:rPr>
            </w:pPr>
          </w:p>
        </w:tc>
        <w:tc>
          <w:tcPr>
            <w:tcW w:w="340" w:type="dxa"/>
            <w:vAlign w:val="bottom"/>
            <w:tcBorders>
              <w:top w:val="single" w:sz="8" w:color="3051F2"/>
            </w:tcBorders>
          </w:tcPr>
          <w:p>
            <w:pPr>
              <w:spacing w:after="0"/>
              <w:rPr>
                <w:sz w:val="3"/>
                <w:szCs w:val="3"/>
                <w:color w:val="auto"/>
              </w:rPr>
            </w:pPr>
          </w:p>
        </w:tc>
        <w:tc>
          <w:tcPr>
            <w:tcW w:w="20" w:type="dxa"/>
            <w:vAlign w:val="bottom"/>
            <w:tcBorders>
              <w:top w:val="single" w:sz="8" w:color="3051F2"/>
            </w:tcBorders>
          </w:tcPr>
          <w:p>
            <w:pPr>
              <w:spacing w:after="0"/>
              <w:rPr>
                <w:sz w:val="3"/>
                <w:szCs w:val="3"/>
                <w:color w:val="auto"/>
              </w:rPr>
            </w:pPr>
          </w:p>
        </w:tc>
        <w:tc>
          <w:tcPr>
            <w:tcW w:w="260" w:type="dxa"/>
            <w:vAlign w:val="bottom"/>
            <w:tcBorders>
              <w:top w:val="single" w:sz="8" w:color="3051F2"/>
            </w:tcBorders>
          </w:tcPr>
          <w:p>
            <w:pPr>
              <w:spacing w:after="0"/>
              <w:rPr>
                <w:sz w:val="3"/>
                <w:szCs w:val="3"/>
                <w:color w:val="auto"/>
              </w:rPr>
            </w:pPr>
          </w:p>
        </w:tc>
        <w:tc>
          <w:tcPr>
            <w:tcW w:w="160" w:type="dxa"/>
            <w:vAlign w:val="bottom"/>
            <w:tcBorders>
              <w:top w:val="single" w:sz="8" w:color="3051F2"/>
            </w:tcBorders>
          </w:tcPr>
          <w:p>
            <w:pPr>
              <w:spacing w:after="0"/>
              <w:rPr>
                <w:sz w:val="3"/>
                <w:szCs w:val="3"/>
                <w:color w:val="auto"/>
              </w:rPr>
            </w:pPr>
          </w:p>
        </w:tc>
        <w:tc>
          <w:tcPr>
            <w:tcW w:w="80" w:type="dxa"/>
            <w:vAlign w:val="bottom"/>
            <w:tcBorders>
              <w:top w:val="single" w:sz="8" w:color="3051F2"/>
            </w:tcBorders>
          </w:tcPr>
          <w:p>
            <w:pPr>
              <w:spacing w:after="0"/>
              <w:rPr>
                <w:sz w:val="3"/>
                <w:szCs w:val="3"/>
                <w:color w:val="auto"/>
              </w:rPr>
            </w:pPr>
          </w:p>
        </w:tc>
        <w:tc>
          <w:tcPr>
            <w:tcW w:w="400" w:type="dxa"/>
            <w:vAlign w:val="bottom"/>
            <w:tcBorders>
              <w:top w:val="single" w:sz="8" w:color="3051F2"/>
            </w:tcBorders>
          </w:tcPr>
          <w:p>
            <w:pPr>
              <w:spacing w:after="0"/>
              <w:rPr>
                <w:sz w:val="3"/>
                <w:szCs w:val="3"/>
                <w:color w:val="auto"/>
              </w:rPr>
            </w:pPr>
          </w:p>
        </w:tc>
        <w:tc>
          <w:tcPr>
            <w:tcW w:w="600" w:type="dxa"/>
            <w:vAlign w:val="bottom"/>
            <w:tcBorders>
              <w:top w:val="single" w:sz="8" w:color="3051F2"/>
            </w:tcBorders>
          </w:tcPr>
          <w:p>
            <w:pPr>
              <w:spacing w:after="0"/>
              <w:rPr>
                <w:sz w:val="3"/>
                <w:szCs w:val="3"/>
                <w:color w:val="auto"/>
              </w:rPr>
            </w:pPr>
          </w:p>
        </w:tc>
        <w:tc>
          <w:tcPr>
            <w:tcW w:w="220" w:type="dxa"/>
            <w:vAlign w:val="bottom"/>
            <w:tcBorders>
              <w:top w:val="single" w:sz="8" w:color="3051F2"/>
            </w:tcBorders>
          </w:tcPr>
          <w:p>
            <w:pPr>
              <w:spacing w:after="0"/>
              <w:rPr>
                <w:sz w:val="3"/>
                <w:szCs w:val="3"/>
                <w:color w:val="auto"/>
              </w:rPr>
            </w:pPr>
          </w:p>
        </w:tc>
        <w:tc>
          <w:tcPr>
            <w:tcW w:w="180" w:type="dxa"/>
            <w:vAlign w:val="bottom"/>
            <w:tcBorders>
              <w:top w:val="single" w:sz="8" w:color="3051F2"/>
            </w:tcBorders>
          </w:tcPr>
          <w:p>
            <w:pPr>
              <w:spacing w:after="0"/>
              <w:rPr>
                <w:sz w:val="3"/>
                <w:szCs w:val="3"/>
                <w:color w:val="auto"/>
              </w:rPr>
            </w:pPr>
          </w:p>
        </w:tc>
        <w:tc>
          <w:tcPr>
            <w:tcW w:w="100" w:type="dxa"/>
            <w:vAlign w:val="bottom"/>
            <w:tcBorders>
              <w:top w:val="single" w:sz="8" w:color="3051F2"/>
            </w:tcBorders>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0" w:type="dxa"/>
            <w:vAlign w:val="bottom"/>
            <w:tcBorders>
              <w:top w:val="single" w:sz="8" w:color="3051F2"/>
            </w:tcBorders>
          </w:tcPr>
          <w:p>
            <w:pPr>
              <w:spacing w:after="0"/>
              <w:rPr>
                <w:sz w:val="3"/>
                <w:szCs w:val="3"/>
                <w:color w:val="auto"/>
              </w:rPr>
            </w:pPr>
          </w:p>
        </w:tc>
        <w:tc>
          <w:tcPr>
            <w:tcW w:w="60" w:type="dxa"/>
            <w:vAlign w:val="bottom"/>
            <w:tcBorders>
              <w:top w:val="single" w:sz="8" w:color="3051F2"/>
            </w:tcBorders>
          </w:tcPr>
          <w:p>
            <w:pPr>
              <w:spacing w:after="0"/>
              <w:rPr>
                <w:sz w:val="3"/>
                <w:szCs w:val="3"/>
                <w:color w:val="auto"/>
              </w:rPr>
            </w:pPr>
          </w:p>
        </w:tc>
        <w:tc>
          <w:tcPr>
            <w:tcW w:w="20" w:type="dxa"/>
            <w:vAlign w:val="bottom"/>
          </w:tcPr>
          <w:p>
            <w:pPr>
              <w:spacing w:after="0"/>
              <w:rPr>
                <w:sz w:val="3"/>
                <w:szCs w:val="3"/>
                <w:color w:val="auto"/>
              </w:rPr>
            </w:pPr>
          </w:p>
        </w:tc>
      </w:tr>
      <w:tr>
        <w:trPr>
          <w:trHeight w:val="159"/>
        </w:trPr>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180"/>
              <w:spacing w:after="0" w:line="159" w:lineRule="exact"/>
              <w:rPr>
                <w:sz w:val="20"/>
                <w:szCs w:val="20"/>
                <w:color w:val="auto"/>
              </w:rPr>
            </w:pPr>
            <w:r>
              <w:rPr>
                <w:rFonts w:ascii="Times New Roman" w:cs="Times New Roman" w:eastAsia="Times New Roman" w:hAnsi="Times New Roman"/>
                <w:sz w:val="14"/>
                <w:szCs w:val="14"/>
                <w:color w:val="3051F2"/>
              </w:rPr>
              <w:t>Item 3.</w:t>
            </w:r>
          </w:p>
        </w:tc>
        <w:tc>
          <w:tcPr>
            <w:tcW w:w="7740" w:type="dxa"/>
            <w:vAlign w:val="bottom"/>
            <w:gridSpan w:val="19"/>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3051F2"/>
              </w:rPr>
              <w:t>Defaults Upon Senior Securities</w:t>
            </w:r>
          </w:p>
        </w:tc>
        <w:tc>
          <w:tcPr>
            <w:tcW w:w="2800" w:type="dxa"/>
            <w:vAlign w:val="bottom"/>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3051F2"/>
              </w:rPr>
              <w:t>44</w:t>
            </w:r>
          </w:p>
        </w:tc>
        <w:tc>
          <w:tcPr>
            <w:tcW w:w="20" w:type="dxa"/>
            <w:vAlign w:val="bottom"/>
            <w:shd w:val="clear" w:color="auto" w:fill="CCEEFF"/>
          </w:tcPr>
          <w:p>
            <w:pPr>
              <w:spacing w:after="0"/>
              <w:rPr>
                <w:sz w:val="13"/>
                <w:szCs w:val="13"/>
                <w:color w:val="auto"/>
              </w:rPr>
            </w:pPr>
          </w:p>
        </w:tc>
      </w:tr>
      <w:tr>
        <w:trPr>
          <w:trHeight w:val="44"/>
        </w:trPr>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3051F2"/>
            </w:tcBorders>
            <w:shd w:val="clear" w:color="auto" w:fill="CCEEFF"/>
          </w:tcPr>
          <w:p>
            <w:pPr>
              <w:spacing w:after="0"/>
              <w:rPr>
                <w:sz w:val="3"/>
                <w:szCs w:val="3"/>
                <w:color w:val="auto"/>
              </w:rPr>
            </w:pPr>
          </w:p>
        </w:tc>
        <w:tc>
          <w:tcPr>
            <w:tcW w:w="260" w:type="dxa"/>
            <w:vAlign w:val="bottom"/>
            <w:tcBorders>
              <w:top w:val="single" w:sz="8" w:color="3051F2"/>
            </w:tcBorders>
            <w:shd w:val="clear" w:color="auto" w:fill="CCEEFF"/>
          </w:tcPr>
          <w:p>
            <w:pPr>
              <w:spacing w:after="0"/>
              <w:rPr>
                <w:sz w:val="3"/>
                <w:szCs w:val="3"/>
                <w:color w:val="auto"/>
              </w:rPr>
            </w:pPr>
          </w:p>
        </w:tc>
        <w:tc>
          <w:tcPr>
            <w:tcW w:w="200" w:type="dxa"/>
            <w:vAlign w:val="bottom"/>
            <w:tcBorders>
              <w:top w:val="single" w:sz="8" w:color="3051F2"/>
            </w:tcBorders>
            <w:shd w:val="clear" w:color="auto" w:fill="CCEEFF"/>
          </w:tcPr>
          <w:p>
            <w:pPr>
              <w:spacing w:after="0"/>
              <w:rPr>
                <w:sz w:val="3"/>
                <w:szCs w:val="3"/>
                <w:color w:val="auto"/>
              </w:rPr>
            </w:pPr>
          </w:p>
        </w:tc>
        <w:tc>
          <w:tcPr>
            <w:tcW w:w="340" w:type="dxa"/>
            <w:vAlign w:val="bottom"/>
            <w:tcBorders>
              <w:top w:val="single" w:sz="8" w:color="3051F2"/>
            </w:tcBorders>
            <w:shd w:val="clear" w:color="auto" w:fill="CCEEFF"/>
          </w:tcPr>
          <w:p>
            <w:pPr>
              <w:spacing w:after="0"/>
              <w:rPr>
                <w:sz w:val="3"/>
                <w:szCs w:val="3"/>
                <w:color w:val="auto"/>
              </w:rPr>
            </w:pPr>
          </w:p>
        </w:tc>
        <w:tc>
          <w:tcPr>
            <w:tcW w:w="22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3051F2"/>
            </w:tcBorders>
            <w:shd w:val="clear" w:color="auto" w:fill="CCEEFF"/>
          </w:tcPr>
          <w:p>
            <w:pPr>
              <w:spacing w:after="0"/>
              <w:rPr>
                <w:sz w:val="3"/>
                <w:szCs w:val="3"/>
                <w:color w:val="auto"/>
              </w:rPr>
            </w:pPr>
          </w:p>
        </w:tc>
        <w:tc>
          <w:tcPr>
            <w:tcW w:w="34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3051F2"/>
            </w:tcBorders>
            <w:shd w:val="clear" w:color="auto" w:fill="CCEEFF"/>
          </w:tcPr>
          <w:p>
            <w:pPr>
              <w:spacing w:after="0"/>
              <w:rPr>
                <w:sz w:val="3"/>
                <w:szCs w:val="3"/>
                <w:color w:val="auto"/>
              </w:rPr>
            </w:pPr>
          </w:p>
        </w:tc>
        <w:tc>
          <w:tcPr>
            <w:tcW w:w="260" w:type="dxa"/>
            <w:vAlign w:val="bottom"/>
            <w:tcBorders>
              <w:top w:val="single" w:sz="8" w:color="3051F2"/>
            </w:tcBorders>
            <w:shd w:val="clear" w:color="auto" w:fill="CCEEFF"/>
          </w:tcPr>
          <w:p>
            <w:pPr>
              <w:spacing w:after="0"/>
              <w:rPr>
                <w:sz w:val="3"/>
                <w:szCs w:val="3"/>
                <w:color w:val="auto"/>
              </w:rPr>
            </w:pPr>
          </w:p>
        </w:tc>
        <w:tc>
          <w:tcPr>
            <w:tcW w:w="160" w:type="dxa"/>
            <w:vAlign w:val="bottom"/>
            <w:tcBorders>
              <w:top w:val="single" w:sz="8" w:color="3051F2"/>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680" w:type="dxa"/>
            <w:vAlign w:val="bottom"/>
            <w:tcBorders>
              <w:top w:val="single" w:sz="8" w:color="CCEEFF"/>
            </w:tcBorders>
            <w:shd w:val="clear" w:color="auto" w:fill="CCEEFF"/>
          </w:tcPr>
          <w:p>
            <w:pPr>
              <w:spacing w:after="0"/>
              <w:rPr>
                <w:sz w:val="3"/>
                <w:szCs w:val="3"/>
                <w:color w:val="auto"/>
              </w:rPr>
            </w:pPr>
          </w:p>
        </w:tc>
        <w:tc>
          <w:tcPr>
            <w:tcW w:w="26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3051F2"/>
            </w:tcBorders>
            <w:shd w:val="clear" w:color="auto" w:fill="CCEEFF"/>
          </w:tcPr>
          <w:p>
            <w:pPr>
              <w:spacing w:after="0"/>
              <w:rPr>
                <w:sz w:val="3"/>
                <w:szCs w:val="3"/>
                <w:color w:val="auto"/>
              </w:rPr>
            </w:pPr>
          </w:p>
        </w:tc>
        <w:tc>
          <w:tcPr>
            <w:tcW w:w="6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59"/>
        </w:trPr>
        <w:tc>
          <w:tcPr>
            <w:tcW w:w="100" w:type="dxa"/>
            <w:vAlign w:val="bottom"/>
          </w:tcPr>
          <w:p>
            <w:pPr>
              <w:spacing w:after="0"/>
              <w:rPr>
                <w:sz w:val="13"/>
                <w:szCs w:val="13"/>
                <w:color w:val="auto"/>
              </w:rPr>
            </w:pPr>
          </w:p>
        </w:tc>
        <w:tc>
          <w:tcPr>
            <w:tcW w:w="620" w:type="dxa"/>
            <w:vAlign w:val="bottom"/>
            <w:gridSpan w:val="2"/>
          </w:tcPr>
          <w:p>
            <w:pPr>
              <w:ind w:left="180"/>
              <w:spacing w:after="0" w:line="159" w:lineRule="exact"/>
              <w:rPr>
                <w:sz w:val="20"/>
                <w:szCs w:val="20"/>
                <w:color w:val="auto"/>
              </w:rPr>
            </w:pPr>
            <w:r>
              <w:rPr>
                <w:rFonts w:ascii="Times New Roman" w:cs="Times New Roman" w:eastAsia="Times New Roman" w:hAnsi="Times New Roman"/>
                <w:sz w:val="14"/>
                <w:szCs w:val="14"/>
                <w:color w:val="3051F2"/>
              </w:rPr>
              <w:t>Item 4.</w:t>
            </w:r>
          </w:p>
        </w:tc>
        <w:tc>
          <w:tcPr>
            <w:tcW w:w="7740" w:type="dxa"/>
            <w:vAlign w:val="bottom"/>
            <w:gridSpan w:val="19"/>
          </w:tcPr>
          <w:p>
            <w:pPr>
              <w:spacing w:after="0" w:line="159" w:lineRule="exact"/>
              <w:rPr>
                <w:sz w:val="20"/>
                <w:szCs w:val="20"/>
                <w:color w:val="auto"/>
              </w:rPr>
            </w:pPr>
            <w:r>
              <w:rPr>
                <w:rFonts w:ascii="Times New Roman" w:cs="Times New Roman" w:eastAsia="Times New Roman" w:hAnsi="Times New Roman"/>
                <w:sz w:val="14"/>
                <w:szCs w:val="14"/>
                <w:color w:val="3051F2"/>
              </w:rPr>
              <w:t>Mine Safety Disclosures</w:t>
            </w:r>
          </w:p>
        </w:tc>
        <w:tc>
          <w:tcPr>
            <w:tcW w:w="280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3051F2"/>
              </w:rPr>
              <w:t>44</w:t>
            </w:r>
          </w:p>
        </w:tc>
        <w:tc>
          <w:tcPr>
            <w:tcW w:w="20" w:type="dxa"/>
            <w:vAlign w:val="bottom"/>
          </w:tcPr>
          <w:p>
            <w:pPr>
              <w:spacing w:after="0"/>
              <w:rPr>
                <w:sz w:val="13"/>
                <w:szCs w:val="13"/>
                <w:color w:val="auto"/>
              </w:rPr>
            </w:pPr>
          </w:p>
        </w:tc>
      </w:tr>
      <w:tr>
        <w:trPr>
          <w:trHeight w:val="44"/>
        </w:trPr>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Borders>
              <w:top w:val="single" w:sz="8" w:color="3051F2"/>
            </w:tcBorders>
          </w:tcPr>
          <w:p>
            <w:pPr>
              <w:spacing w:after="0"/>
              <w:rPr>
                <w:sz w:val="3"/>
                <w:szCs w:val="3"/>
                <w:color w:val="auto"/>
              </w:rPr>
            </w:pPr>
          </w:p>
        </w:tc>
        <w:tc>
          <w:tcPr>
            <w:tcW w:w="260" w:type="dxa"/>
            <w:vAlign w:val="bottom"/>
            <w:tcBorders>
              <w:top w:val="single" w:sz="8" w:color="3051F2"/>
            </w:tcBorders>
          </w:tcPr>
          <w:p>
            <w:pPr>
              <w:spacing w:after="0"/>
              <w:rPr>
                <w:sz w:val="3"/>
                <w:szCs w:val="3"/>
                <w:color w:val="auto"/>
              </w:rPr>
            </w:pPr>
          </w:p>
        </w:tc>
        <w:tc>
          <w:tcPr>
            <w:tcW w:w="200" w:type="dxa"/>
            <w:vAlign w:val="bottom"/>
            <w:tcBorders>
              <w:top w:val="single" w:sz="8" w:color="3051F2"/>
            </w:tcBorders>
          </w:tcPr>
          <w:p>
            <w:pPr>
              <w:spacing w:after="0"/>
              <w:rPr>
                <w:sz w:val="3"/>
                <w:szCs w:val="3"/>
                <w:color w:val="auto"/>
              </w:rPr>
            </w:pPr>
          </w:p>
        </w:tc>
        <w:tc>
          <w:tcPr>
            <w:tcW w:w="340" w:type="dxa"/>
            <w:vAlign w:val="bottom"/>
            <w:tcBorders>
              <w:top w:val="single" w:sz="8" w:color="3051F2"/>
            </w:tcBorders>
          </w:tcPr>
          <w:p>
            <w:pPr>
              <w:spacing w:after="0"/>
              <w:rPr>
                <w:sz w:val="3"/>
                <w:szCs w:val="3"/>
                <w:color w:val="auto"/>
              </w:rPr>
            </w:pPr>
          </w:p>
        </w:tc>
        <w:tc>
          <w:tcPr>
            <w:tcW w:w="220" w:type="dxa"/>
            <w:vAlign w:val="bottom"/>
            <w:tcBorders>
              <w:top w:val="single" w:sz="8" w:color="3051F2"/>
            </w:tcBorders>
          </w:tcPr>
          <w:p>
            <w:pPr>
              <w:spacing w:after="0"/>
              <w:rPr>
                <w:sz w:val="3"/>
                <w:szCs w:val="3"/>
                <w:color w:val="auto"/>
              </w:rPr>
            </w:pPr>
          </w:p>
        </w:tc>
        <w:tc>
          <w:tcPr>
            <w:tcW w:w="20" w:type="dxa"/>
            <w:vAlign w:val="bottom"/>
            <w:tcBorders>
              <w:top w:val="single" w:sz="8" w:color="3051F2"/>
            </w:tcBorders>
          </w:tcPr>
          <w:p>
            <w:pPr>
              <w:spacing w:after="0"/>
              <w:rPr>
                <w:sz w:val="3"/>
                <w:szCs w:val="3"/>
                <w:color w:val="auto"/>
              </w:rPr>
            </w:pPr>
          </w:p>
        </w:tc>
        <w:tc>
          <w:tcPr>
            <w:tcW w:w="340" w:type="dxa"/>
            <w:vAlign w:val="bottom"/>
            <w:tcBorders>
              <w:top w:val="single" w:sz="8" w:color="3051F2"/>
            </w:tcBorders>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0" w:type="dxa"/>
            <w:vAlign w:val="bottom"/>
            <w:tcBorders>
              <w:top w:val="single" w:sz="8" w:color="3051F2"/>
            </w:tcBorders>
          </w:tcPr>
          <w:p>
            <w:pPr>
              <w:spacing w:after="0"/>
              <w:rPr>
                <w:sz w:val="3"/>
                <w:szCs w:val="3"/>
                <w:color w:val="auto"/>
              </w:rPr>
            </w:pPr>
          </w:p>
        </w:tc>
        <w:tc>
          <w:tcPr>
            <w:tcW w:w="60" w:type="dxa"/>
            <w:vAlign w:val="bottom"/>
            <w:tcBorders>
              <w:top w:val="single" w:sz="8" w:color="3051F2"/>
            </w:tcBorders>
          </w:tcPr>
          <w:p>
            <w:pPr>
              <w:spacing w:after="0"/>
              <w:rPr>
                <w:sz w:val="3"/>
                <w:szCs w:val="3"/>
                <w:color w:val="auto"/>
              </w:rPr>
            </w:pPr>
          </w:p>
        </w:tc>
        <w:tc>
          <w:tcPr>
            <w:tcW w:w="20" w:type="dxa"/>
            <w:vAlign w:val="bottom"/>
          </w:tcPr>
          <w:p>
            <w:pPr>
              <w:spacing w:after="0"/>
              <w:rPr>
                <w:sz w:val="3"/>
                <w:szCs w:val="3"/>
                <w:color w:val="auto"/>
              </w:rPr>
            </w:pPr>
          </w:p>
        </w:tc>
      </w:tr>
      <w:tr>
        <w:trPr>
          <w:trHeight w:val="159"/>
        </w:trPr>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180"/>
              <w:spacing w:after="0" w:line="159" w:lineRule="exact"/>
              <w:rPr>
                <w:sz w:val="20"/>
                <w:szCs w:val="20"/>
                <w:color w:val="auto"/>
              </w:rPr>
            </w:pPr>
            <w:r>
              <w:rPr>
                <w:rFonts w:ascii="Times New Roman" w:cs="Times New Roman" w:eastAsia="Times New Roman" w:hAnsi="Times New Roman"/>
                <w:sz w:val="14"/>
                <w:szCs w:val="14"/>
                <w:color w:val="3051F2"/>
              </w:rPr>
              <w:t>Item 5.</w:t>
            </w:r>
          </w:p>
        </w:tc>
        <w:tc>
          <w:tcPr>
            <w:tcW w:w="7740" w:type="dxa"/>
            <w:vAlign w:val="bottom"/>
            <w:gridSpan w:val="19"/>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3051F2"/>
              </w:rPr>
              <w:t>Other Information</w:t>
            </w:r>
          </w:p>
        </w:tc>
        <w:tc>
          <w:tcPr>
            <w:tcW w:w="2800" w:type="dxa"/>
            <w:vAlign w:val="bottom"/>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3051F2"/>
              </w:rPr>
              <w:t>45</w:t>
            </w:r>
          </w:p>
        </w:tc>
        <w:tc>
          <w:tcPr>
            <w:tcW w:w="20" w:type="dxa"/>
            <w:vAlign w:val="bottom"/>
            <w:shd w:val="clear" w:color="auto" w:fill="CCEEFF"/>
          </w:tcPr>
          <w:p>
            <w:pPr>
              <w:spacing w:after="0"/>
              <w:rPr>
                <w:sz w:val="13"/>
                <w:szCs w:val="13"/>
                <w:color w:val="auto"/>
              </w:rPr>
            </w:pPr>
          </w:p>
        </w:tc>
      </w:tr>
      <w:tr>
        <w:trPr>
          <w:trHeight w:val="44"/>
        </w:trPr>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3051F2"/>
            </w:tcBorders>
            <w:shd w:val="clear" w:color="auto" w:fill="CCEEFF"/>
          </w:tcPr>
          <w:p>
            <w:pPr>
              <w:spacing w:after="0"/>
              <w:rPr>
                <w:sz w:val="3"/>
                <w:szCs w:val="3"/>
                <w:color w:val="auto"/>
              </w:rPr>
            </w:pPr>
          </w:p>
        </w:tc>
        <w:tc>
          <w:tcPr>
            <w:tcW w:w="260" w:type="dxa"/>
            <w:vAlign w:val="bottom"/>
            <w:tcBorders>
              <w:top w:val="single" w:sz="8" w:color="3051F2"/>
            </w:tcBorders>
            <w:shd w:val="clear" w:color="auto" w:fill="CCEEFF"/>
          </w:tcPr>
          <w:p>
            <w:pPr>
              <w:spacing w:after="0"/>
              <w:rPr>
                <w:sz w:val="3"/>
                <w:szCs w:val="3"/>
                <w:color w:val="auto"/>
              </w:rPr>
            </w:pPr>
          </w:p>
        </w:tc>
        <w:tc>
          <w:tcPr>
            <w:tcW w:w="200" w:type="dxa"/>
            <w:vAlign w:val="bottom"/>
            <w:tcBorders>
              <w:top w:val="single" w:sz="8" w:color="3051F2"/>
            </w:tcBorders>
            <w:shd w:val="clear" w:color="auto" w:fill="CCEEFF"/>
          </w:tcPr>
          <w:p>
            <w:pPr>
              <w:spacing w:after="0"/>
              <w:rPr>
                <w:sz w:val="3"/>
                <w:szCs w:val="3"/>
                <w:color w:val="auto"/>
              </w:rPr>
            </w:pPr>
          </w:p>
        </w:tc>
        <w:tc>
          <w:tcPr>
            <w:tcW w:w="340" w:type="dxa"/>
            <w:vAlign w:val="bottom"/>
            <w:tcBorders>
              <w:top w:val="single" w:sz="8" w:color="3051F2"/>
            </w:tcBorders>
            <w:shd w:val="clear" w:color="auto" w:fill="CCEEFF"/>
          </w:tcPr>
          <w:p>
            <w:pPr>
              <w:spacing w:after="0"/>
              <w:rPr>
                <w:sz w:val="3"/>
                <w:szCs w:val="3"/>
                <w:color w:val="auto"/>
              </w:rPr>
            </w:pPr>
          </w:p>
        </w:tc>
        <w:tc>
          <w:tcPr>
            <w:tcW w:w="22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680" w:type="dxa"/>
            <w:vAlign w:val="bottom"/>
            <w:tcBorders>
              <w:top w:val="single" w:sz="8" w:color="CCEEFF"/>
            </w:tcBorders>
            <w:shd w:val="clear" w:color="auto" w:fill="CCEEFF"/>
          </w:tcPr>
          <w:p>
            <w:pPr>
              <w:spacing w:after="0"/>
              <w:rPr>
                <w:sz w:val="3"/>
                <w:szCs w:val="3"/>
                <w:color w:val="auto"/>
              </w:rPr>
            </w:pPr>
          </w:p>
        </w:tc>
        <w:tc>
          <w:tcPr>
            <w:tcW w:w="26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3051F2"/>
            </w:tcBorders>
            <w:shd w:val="clear" w:color="auto" w:fill="CCEEFF"/>
          </w:tcPr>
          <w:p>
            <w:pPr>
              <w:spacing w:after="0"/>
              <w:rPr>
                <w:sz w:val="3"/>
                <w:szCs w:val="3"/>
                <w:color w:val="auto"/>
              </w:rPr>
            </w:pPr>
          </w:p>
        </w:tc>
        <w:tc>
          <w:tcPr>
            <w:tcW w:w="6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59"/>
        </w:trPr>
        <w:tc>
          <w:tcPr>
            <w:tcW w:w="100" w:type="dxa"/>
            <w:vAlign w:val="bottom"/>
          </w:tcPr>
          <w:p>
            <w:pPr>
              <w:spacing w:after="0"/>
              <w:rPr>
                <w:sz w:val="13"/>
                <w:szCs w:val="13"/>
                <w:color w:val="auto"/>
              </w:rPr>
            </w:pPr>
          </w:p>
        </w:tc>
        <w:tc>
          <w:tcPr>
            <w:tcW w:w="620" w:type="dxa"/>
            <w:vAlign w:val="bottom"/>
            <w:gridSpan w:val="2"/>
          </w:tcPr>
          <w:p>
            <w:pPr>
              <w:ind w:left="180"/>
              <w:spacing w:after="0" w:line="159" w:lineRule="exact"/>
              <w:rPr>
                <w:sz w:val="20"/>
                <w:szCs w:val="20"/>
                <w:color w:val="auto"/>
              </w:rPr>
            </w:pPr>
            <w:r>
              <w:rPr>
                <w:rFonts w:ascii="Times New Roman" w:cs="Times New Roman" w:eastAsia="Times New Roman" w:hAnsi="Times New Roman"/>
                <w:sz w:val="14"/>
                <w:szCs w:val="14"/>
                <w:color w:val="3051F2"/>
              </w:rPr>
              <w:t>Item 6.</w:t>
            </w:r>
          </w:p>
        </w:tc>
        <w:tc>
          <w:tcPr>
            <w:tcW w:w="7740" w:type="dxa"/>
            <w:vAlign w:val="bottom"/>
            <w:gridSpan w:val="19"/>
          </w:tcPr>
          <w:p>
            <w:pPr>
              <w:spacing w:after="0" w:line="159" w:lineRule="exact"/>
              <w:rPr>
                <w:sz w:val="20"/>
                <w:szCs w:val="20"/>
                <w:color w:val="auto"/>
              </w:rPr>
            </w:pPr>
            <w:r>
              <w:rPr>
                <w:rFonts w:ascii="Times New Roman" w:cs="Times New Roman" w:eastAsia="Times New Roman" w:hAnsi="Times New Roman"/>
                <w:sz w:val="14"/>
                <w:szCs w:val="14"/>
                <w:color w:val="3051F2"/>
              </w:rPr>
              <w:t>Exhibits</w:t>
            </w:r>
          </w:p>
        </w:tc>
        <w:tc>
          <w:tcPr>
            <w:tcW w:w="280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3051F2"/>
              </w:rPr>
              <w:t>46</w:t>
            </w:r>
          </w:p>
        </w:tc>
        <w:tc>
          <w:tcPr>
            <w:tcW w:w="20" w:type="dxa"/>
            <w:vAlign w:val="bottom"/>
          </w:tcPr>
          <w:p>
            <w:pPr>
              <w:spacing w:after="0"/>
              <w:rPr>
                <w:sz w:val="13"/>
                <w:szCs w:val="13"/>
                <w:color w:val="auto"/>
              </w:rPr>
            </w:pPr>
          </w:p>
        </w:tc>
      </w:tr>
      <w:tr>
        <w:trPr>
          <w:trHeight w:val="44"/>
        </w:trPr>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Borders>
              <w:top w:val="single" w:sz="8" w:color="3051F2"/>
            </w:tcBorders>
          </w:tcPr>
          <w:p>
            <w:pPr>
              <w:spacing w:after="0"/>
              <w:rPr>
                <w:sz w:val="3"/>
                <w:szCs w:val="3"/>
                <w:color w:val="auto"/>
              </w:rPr>
            </w:pPr>
          </w:p>
        </w:tc>
        <w:tc>
          <w:tcPr>
            <w:tcW w:w="260" w:type="dxa"/>
            <w:vAlign w:val="bottom"/>
            <w:tcBorders>
              <w:top w:val="single" w:sz="8" w:color="3051F2"/>
            </w:tcBorders>
          </w:tcPr>
          <w:p>
            <w:pPr>
              <w:spacing w:after="0"/>
              <w:rPr>
                <w:sz w:val="3"/>
                <w:szCs w:val="3"/>
                <w:color w:val="auto"/>
              </w:rPr>
            </w:pPr>
          </w:p>
        </w:tc>
        <w:tc>
          <w:tcPr>
            <w:tcW w:w="200" w:type="dxa"/>
            <w:vAlign w:val="bottom"/>
            <w:tcBorders>
              <w:top w:val="single" w:sz="8" w:color="3051F2"/>
            </w:tcBorders>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0" w:type="dxa"/>
            <w:vAlign w:val="bottom"/>
            <w:tcBorders>
              <w:top w:val="single" w:sz="8" w:color="3051F2"/>
            </w:tcBorders>
          </w:tcPr>
          <w:p>
            <w:pPr>
              <w:spacing w:after="0"/>
              <w:rPr>
                <w:sz w:val="3"/>
                <w:szCs w:val="3"/>
                <w:color w:val="auto"/>
              </w:rPr>
            </w:pPr>
          </w:p>
        </w:tc>
        <w:tc>
          <w:tcPr>
            <w:tcW w:w="60" w:type="dxa"/>
            <w:vAlign w:val="bottom"/>
            <w:tcBorders>
              <w:top w:val="single" w:sz="8" w:color="3051F2"/>
            </w:tcBorders>
          </w:tcPr>
          <w:p>
            <w:pPr>
              <w:spacing w:after="0"/>
              <w:rPr>
                <w:sz w:val="3"/>
                <w:szCs w:val="3"/>
                <w:color w:val="auto"/>
              </w:rPr>
            </w:pPr>
          </w:p>
        </w:tc>
        <w:tc>
          <w:tcPr>
            <w:tcW w:w="20" w:type="dxa"/>
            <w:vAlign w:val="bottom"/>
          </w:tcPr>
          <w:p>
            <w:pPr>
              <w:spacing w:after="0"/>
              <w:rPr>
                <w:sz w:val="3"/>
                <w:szCs w:val="3"/>
                <w:color w:val="auto"/>
              </w:rPr>
            </w:pPr>
          </w:p>
        </w:tc>
      </w:tr>
      <w:tr>
        <w:trPr>
          <w:trHeight w:val="159"/>
        </w:trPr>
        <w:tc>
          <w:tcPr>
            <w:tcW w:w="8460" w:type="dxa"/>
            <w:vAlign w:val="bottom"/>
            <w:gridSpan w:val="22"/>
            <w:shd w:val="clear" w:color="auto" w:fill="CCEEFF"/>
          </w:tcPr>
          <w:p>
            <w:pPr>
              <w:ind w:left="100"/>
              <w:spacing w:after="0" w:line="159" w:lineRule="exact"/>
              <w:rPr>
                <w:sz w:val="20"/>
                <w:szCs w:val="20"/>
                <w:color w:val="auto"/>
              </w:rPr>
            </w:pPr>
            <w:r>
              <w:rPr>
                <w:rFonts w:ascii="Times New Roman" w:cs="Times New Roman" w:eastAsia="Times New Roman" w:hAnsi="Times New Roman"/>
                <w:sz w:val="14"/>
                <w:szCs w:val="14"/>
                <w:color w:val="3051F2"/>
              </w:rPr>
              <w:t>SIGNATURES</w:t>
            </w:r>
          </w:p>
        </w:tc>
        <w:tc>
          <w:tcPr>
            <w:tcW w:w="2800" w:type="dxa"/>
            <w:vAlign w:val="bottom"/>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3051F2"/>
              </w:rPr>
              <w:t>47</w:t>
            </w:r>
          </w:p>
        </w:tc>
        <w:tc>
          <w:tcPr>
            <w:tcW w:w="20" w:type="dxa"/>
            <w:vAlign w:val="bottom"/>
            <w:shd w:val="clear" w:color="auto" w:fill="CCEEFF"/>
          </w:tcPr>
          <w:p>
            <w:pPr>
              <w:spacing w:after="0"/>
              <w:rPr>
                <w:sz w:val="13"/>
                <w:szCs w:val="13"/>
                <w:color w:val="auto"/>
              </w:rPr>
            </w:pPr>
          </w:p>
        </w:tc>
      </w:tr>
      <w:tr>
        <w:trPr>
          <w:trHeight w:val="44"/>
        </w:trPr>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3051F2"/>
            </w:tcBorders>
            <w:shd w:val="clear" w:color="auto" w:fill="CCEEFF"/>
          </w:tcPr>
          <w:p>
            <w:pPr>
              <w:spacing w:after="0"/>
              <w:rPr>
                <w:sz w:val="3"/>
                <w:szCs w:val="3"/>
                <w:color w:val="auto"/>
              </w:rPr>
            </w:pPr>
          </w:p>
        </w:tc>
        <w:tc>
          <w:tcPr>
            <w:tcW w:w="440" w:type="dxa"/>
            <w:vAlign w:val="bottom"/>
            <w:tcBorders>
              <w:top w:val="single" w:sz="8" w:color="3051F2"/>
            </w:tcBorders>
            <w:shd w:val="clear" w:color="auto" w:fill="CCEEFF"/>
          </w:tcPr>
          <w:p>
            <w:pPr>
              <w:spacing w:after="0"/>
              <w:rPr>
                <w:sz w:val="3"/>
                <w:szCs w:val="3"/>
                <w:color w:val="auto"/>
              </w:rPr>
            </w:pPr>
          </w:p>
        </w:tc>
        <w:tc>
          <w:tcPr>
            <w:tcW w:w="260" w:type="dxa"/>
            <w:vAlign w:val="bottom"/>
            <w:tcBorders>
              <w:top w:val="single" w:sz="8" w:color="3051F2"/>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680" w:type="dxa"/>
            <w:vAlign w:val="bottom"/>
            <w:tcBorders>
              <w:top w:val="single" w:sz="8" w:color="CCEEFF"/>
            </w:tcBorders>
            <w:shd w:val="clear" w:color="auto" w:fill="CCEEFF"/>
          </w:tcPr>
          <w:p>
            <w:pPr>
              <w:spacing w:after="0"/>
              <w:rPr>
                <w:sz w:val="3"/>
                <w:szCs w:val="3"/>
                <w:color w:val="auto"/>
              </w:rPr>
            </w:pPr>
          </w:p>
        </w:tc>
        <w:tc>
          <w:tcPr>
            <w:tcW w:w="26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3051F2"/>
            </w:tcBorders>
            <w:shd w:val="clear" w:color="auto" w:fill="CCEEFF"/>
          </w:tcPr>
          <w:p>
            <w:pPr>
              <w:spacing w:after="0"/>
              <w:rPr>
                <w:sz w:val="3"/>
                <w:szCs w:val="3"/>
                <w:color w:val="auto"/>
              </w:rPr>
            </w:pPr>
          </w:p>
        </w:tc>
        <w:tc>
          <w:tcPr>
            <w:tcW w:w="60" w:type="dxa"/>
            <w:vAlign w:val="bottom"/>
            <w:tcBorders>
              <w:top w:val="single" w:sz="8" w:color="3051F2"/>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 (Unaudited)</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 except share and per share data)</w:t>
            </w:r>
          </w:p>
        </w:tc>
        <w:tc>
          <w:tcPr>
            <w:tcW w:w="380" w:type="dxa"/>
            <w:vAlign w:val="bottom"/>
          </w:tcPr>
          <w:p>
            <w:pPr>
              <w:spacing w:after="0"/>
              <w:rPr>
                <w:sz w:val="12"/>
                <w:szCs w:val="12"/>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March 31, 2026 (Unaudited)</w:t>
            </w:r>
          </w:p>
        </w:tc>
        <w:tc>
          <w:tcPr>
            <w:tcW w:w="580" w:type="dxa"/>
            <w:vAlign w:val="bottom"/>
          </w:tcPr>
          <w:p>
            <w:pPr>
              <w:spacing w:after="0"/>
              <w:rPr>
                <w:sz w:val="12"/>
                <w:szCs w:val="12"/>
                <w:color w:val="auto"/>
              </w:rPr>
            </w:pPr>
          </w:p>
        </w:tc>
        <w:tc>
          <w:tcPr>
            <w:tcW w:w="1440" w:type="dxa"/>
            <w:vAlign w:val="bottom"/>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99"/>
        </w:trPr>
        <w:tc>
          <w:tcPr>
            <w:tcW w:w="71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7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38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4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Current assets</w:t>
            </w: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380" w:type="dxa"/>
            <w:vAlign w:val="bottom"/>
            <w:tcBorders>
              <w:bottom w:val="single" w:sz="8" w:color="CCEEFF"/>
            </w:tcBorders>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298,490</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47"/>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334,517</w:t>
            </w:r>
          </w:p>
        </w:tc>
        <w:tc>
          <w:tcPr>
            <w:tcW w:w="0" w:type="dxa"/>
            <w:vAlign w:val="bottom"/>
          </w:tcPr>
          <w:p>
            <w:pPr>
              <w:spacing w:after="0"/>
              <w:rPr>
                <w:sz w:val="1"/>
                <w:szCs w:val="1"/>
                <w:color w:val="auto"/>
              </w:rPr>
            </w:pPr>
          </w:p>
        </w:tc>
      </w:tr>
      <w:tr>
        <w:trPr>
          <w:trHeight w:val="149"/>
        </w:trPr>
        <w:tc>
          <w:tcPr>
            <w:tcW w:w="71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Short-term marketable debt securities</w:t>
            </w:r>
          </w:p>
        </w:tc>
        <w:tc>
          <w:tcPr>
            <w:tcW w:w="380" w:type="dxa"/>
            <w:vAlign w:val="bottom"/>
          </w:tcPr>
          <w:p>
            <w:pPr>
              <w:spacing w:after="0"/>
              <w:rPr>
                <w:sz w:val="12"/>
                <w:szCs w:val="12"/>
                <w:color w:val="auto"/>
              </w:rPr>
            </w:pPr>
          </w:p>
        </w:tc>
        <w:tc>
          <w:tcPr>
            <w:tcW w:w="16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59,431</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59,451</w:t>
            </w:r>
          </w:p>
        </w:tc>
        <w:tc>
          <w:tcPr>
            <w:tcW w:w="0" w:type="dxa"/>
            <w:vAlign w:val="bottom"/>
          </w:tcPr>
          <w:p>
            <w:pPr>
              <w:spacing w:after="0"/>
              <w:rPr>
                <w:sz w:val="1"/>
                <w:szCs w:val="1"/>
                <w:color w:val="auto"/>
              </w:rPr>
            </w:pPr>
          </w:p>
        </w:tc>
      </w:tr>
      <w:tr>
        <w:trPr>
          <w:trHeight w:val="32"/>
        </w:trPr>
        <w:tc>
          <w:tcPr>
            <w:tcW w:w="7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Other receivables</w:t>
            </w:r>
          </w:p>
        </w:tc>
        <w:tc>
          <w:tcPr>
            <w:tcW w:w="38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5,763</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4,869</w:t>
            </w:r>
          </w:p>
        </w:tc>
        <w:tc>
          <w:tcPr>
            <w:tcW w:w="0" w:type="dxa"/>
            <w:vAlign w:val="bottom"/>
          </w:tcPr>
          <w:p>
            <w:pPr>
              <w:spacing w:after="0"/>
              <w:rPr>
                <w:sz w:val="1"/>
                <w:szCs w:val="1"/>
                <w:color w:val="auto"/>
              </w:rPr>
            </w:pPr>
          </w:p>
        </w:tc>
      </w:tr>
      <w:tr>
        <w:trPr>
          <w:trHeight w:val="149"/>
        </w:trPr>
        <w:tc>
          <w:tcPr>
            <w:tcW w:w="71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Prepaid expenses</w:t>
            </w:r>
          </w:p>
        </w:tc>
        <w:tc>
          <w:tcPr>
            <w:tcW w:w="380" w:type="dxa"/>
            <w:vAlign w:val="bottom"/>
          </w:tcPr>
          <w:p>
            <w:pPr>
              <w:spacing w:after="0"/>
              <w:rPr>
                <w:sz w:val="12"/>
                <w:szCs w:val="12"/>
                <w:color w:val="auto"/>
              </w:rPr>
            </w:pPr>
          </w:p>
        </w:tc>
        <w:tc>
          <w:tcPr>
            <w:tcW w:w="16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32,957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22,857</w:t>
            </w:r>
          </w:p>
        </w:tc>
        <w:tc>
          <w:tcPr>
            <w:tcW w:w="0" w:type="dxa"/>
            <w:vAlign w:val="bottom"/>
          </w:tcPr>
          <w:p>
            <w:pPr>
              <w:spacing w:after="0"/>
              <w:rPr>
                <w:sz w:val="1"/>
                <w:szCs w:val="1"/>
                <w:color w:val="auto"/>
              </w:rPr>
            </w:pPr>
          </w:p>
        </w:tc>
      </w:tr>
      <w:tr>
        <w:trPr>
          <w:trHeight w:val="32"/>
        </w:trPr>
        <w:tc>
          <w:tcPr>
            <w:tcW w:w="7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7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Total current assets</w:t>
            </w:r>
          </w:p>
        </w:tc>
        <w:tc>
          <w:tcPr>
            <w:tcW w:w="38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396,641</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rPr>
              <w:t>421,694</w:t>
            </w:r>
          </w:p>
        </w:tc>
        <w:tc>
          <w:tcPr>
            <w:tcW w:w="0" w:type="dxa"/>
            <w:vAlign w:val="bottom"/>
          </w:tcPr>
          <w:p>
            <w:pPr>
              <w:spacing w:after="0"/>
              <w:rPr>
                <w:sz w:val="1"/>
                <w:szCs w:val="1"/>
                <w:color w:val="auto"/>
              </w:rPr>
            </w:pPr>
          </w:p>
        </w:tc>
      </w:tr>
      <w:tr>
        <w:trPr>
          <w:trHeight w:val="192"/>
        </w:trPr>
        <w:tc>
          <w:tcPr>
            <w:tcW w:w="71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Non-current assets</w:t>
            </w:r>
          </w:p>
        </w:tc>
        <w:tc>
          <w:tcPr>
            <w:tcW w:w="38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1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Operating lease right-of-use assets</w:t>
            </w:r>
          </w:p>
        </w:tc>
        <w:tc>
          <w:tcPr>
            <w:tcW w:w="380" w:type="dxa"/>
            <w:vAlign w:val="bottom"/>
          </w:tcPr>
          <w:p>
            <w:pPr>
              <w:spacing w:after="0"/>
              <w:rPr>
                <w:sz w:val="12"/>
                <w:szCs w:val="12"/>
                <w:color w:val="auto"/>
              </w:rPr>
            </w:pPr>
          </w:p>
        </w:tc>
        <w:tc>
          <w:tcPr>
            <w:tcW w:w="16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1,857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1,566</w:t>
            </w:r>
          </w:p>
        </w:tc>
        <w:tc>
          <w:tcPr>
            <w:tcW w:w="0" w:type="dxa"/>
            <w:vAlign w:val="bottom"/>
          </w:tcPr>
          <w:p>
            <w:pPr>
              <w:spacing w:after="0"/>
              <w:rPr>
                <w:sz w:val="1"/>
                <w:szCs w:val="1"/>
                <w:color w:val="auto"/>
              </w:rPr>
            </w:pPr>
          </w:p>
        </w:tc>
      </w:tr>
      <w:tr>
        <w:trPr>
          <w:trHeight w:val="32"/>
        </w:trPr>
        <w:tc>
          <w:tcPr>
            <w:tcW w:w="7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38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532</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577</w:t>
            </w:r>
          </w:p>
        </w:tc>
        <w:tc>
          <w:tcPr>
            <w:tcW w:w="0" w:type="dxa"/>
            <w:vAlign w:val="bottom"/>
          </w:tcPr>
          <w:p>
            <w:pPr>
              <w:spacing w:after="0"/>
              <w:rPr>
                <w:sz w:val="1"/>
                <w:szCs w:val="1"/>
                <w:color w:val="auto"/>
              </w:rPr>
            </w:pPr>
          </w:p>
        </w:tc>
      </w:tr>
      <w:tr>
        <w:trPr>
          <w:trHeight w:val="149"/>
        </w:trPr>
        <w:tc>
          <w:tcPr>
            <w:tcW w:w="71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Other non-current assets</w:t>
            </w:r>
          </w:p>
        </w:tc>
        <w:tc>
          <w:tcPr>
            <w:tcW w:w="380" w:type="dxa"/>
            <w:vAlign w:val="bottom"/>
          </w:tcPr>
          <w:p>
            <w:pPr>
              <w:spacing w:after="0"/>
              <w:rPr>
                <w:sz w:val="12"/>
                <w:szCs w:val="12"/>
                <w:color w:val="auto"/>
              </w:rPr>
            </w:pPr>
          </w:p>
        </w:tc>
        <w:tc>
          <w:tcPr>
            <w:tcW w:w="16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1,344</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596</w:t>
            </w:r>
          </w:p>
        </w:tc>
        <w:tc>
          <w:tcPr>
            <w:tcW w:w="0" w:type="dxa"/>
            <w:vAlign w:val="bottom"/>
          </w:tcPr>
          <w:p>
            <w:pPr>
              <w:spacing w:after="0"/>
              <w:rPr>
                <w:sz w:val="1"/>
                <w:szCs w:val="1"/>
                <w:color w:val="auto"/>
              </w:rPr>
            </w:pPr>
          </w:p>
        </w:tc>
      </w:tr>
      <w:tr>
        <w:trPr>
          <w:trHeight w:val="32"/>
        </w:trPr>
        <w:tc>
          <w:tcPr>
            <w:tcW w:w="7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7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Total non-current assets</w:t>
            </w:r>
          </w:p>
        </w:tc>
        <w:tc>
          <w:tcPr>
            <w:tcW w:w="38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3,733</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rPr>
              <w:t>2,739</w:t>
            </w:r>
          </w:p>
        </w:tc>
        <w:tc>
          <w:tcPr>
            <w:tcW w:w="0" w:type="dxa"/>
            <w:vAlign w:val="bottom"/>
          </w:tcPr>
          <w:p>
            <w:pPr>
              <w:spacing w:after="0"/>
              <w:rPr>
                <w:sz w:val="1"/>
                <w:szCs w:val="1"/>
                <w:color w:val="auto"/>
              </w:rPr>
            </w:pPr>
          </w:p>
        </w:tc>
      </w:tr>
      <w:tr>
        <w:trPr>
          <w:trHeight w:val="139"/>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380" w:type="dxa"/>
            <w:vAlign w:val="bottom"/>
            <w:tcBorders>
              <w:top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400,374</w:t>
            </w: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ind w:right="447"/>
              <w:spacing w:after="0"/>
              <w:rPr>
                <w:sz w:val="20"/>
                <w:szCs w:val="20"/>
                <w:color w:val="auto"/>
              </w:rPr>
            </w:pPr>
            <w:r>
              <w:rPr>
                <w:rFonts w:ascii="Times New Roman" w:cs="Times New Roman" w:eastAsia="Times New Roman" w:hAnsi="Times New Roman"/>
                <w:sz w:val="11"/>
                <w:szCs w:val="11"/>
                <w:b w:val="1"/>
                <w:bCs w:val="1"/>
                <w:color w:val="auto"/>
              </w:rPr>
              <w:t>$</w:t>
            </w:r>
          </w:p>
        </w:tc>
        <w:tc>
          <w:tcPr>
            <w:tcW w:w="144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rPr>
              <w:t>424,433</w:t>
            </w:r>
          </w:p>
        </w:tc>
        <w:tc>
          <w:tcPr>
            <w:tcW w:w="0" w:type="dxa"/>
            <w:vAlign w:val="bottom"/>
          </w:tcPr>
          <w:p>
            <w:pPr>
              <w:spacing w:after="0"/>
              <w:rPr>
                <w:sz w:val="1"/>
                <w:szCs w:val="1"/>
                <w:color w:val="auto"/>
              </w:rPr>
            </w:pPr>
          </w:p>
        </w:tc>
      </w:tr>
      <w:tr>
        <w:trPr>
          <w:trHeight w:val="33"/>
        </w:trPr>
        <w:tc>
          <w:tcPr>
            <w:tcW w:w="7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7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Liabilities and Equity</w:t>
            </w: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Current liabilities</w:t>
            </w:r>
          </w:p>
        </w:tc>
        <w:tc>
          <w:tcPr>
            <w:tcW w:w="38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1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Trade and other payables</w:t>
            </w:r>
          </w:p>
        </w:tc>
        <w:tc>
          <w:tcPr>
            <w:tcW w:w="38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23,380</w:t>
            </w:r>
          </w:p>
        </w:tc>
        <w:tc>
          <w:tcPr>
            <w:tcW w:w="80" w:type="dxa"/>
            <w:vAlign w:val="bottom"/>
          </w:tcPr>
          <w:p>
            <w:pPr>
              <w:spacing w:after="0"/>
              <w:rPr>
                <w:sz w:val="12"/>
                <w:szCs w:val="12"/>
                <w:color w:val="auto"/>
              </w:rPr>
            </w:pPr>
          </w:p>
        </w:tc>
        <w:tc>
          <w:tcPr>
            <w:tcW w:w="580" w:type="dxa"/>
            <w:vAlign w:val="bottom"/>
          </w:tcPr>
          <w:p>
            <w:pPr>
              <w:jc w:val="right"/>
              <w:ind w:right="447"/>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29,553</w:t>
            </w:r>
          </w:p>
        </w:tc>
        <w:tc>
          <w:tcPr>
            <w:tcW w:w="0" w:type="dxa"/>
            <w:vAlign w:val="bottom"/>
          </w:tcPr>
          <w:p>
            <w:pPr>
              <w:spacing w:after="0"/>
              <w:rPr>
                <w:sz w:val="1"/>
                <w:szCs w:val="1"/>
                <w:color w:val="auto"/>
              </w:rPr>
            </w:pPr>
          </w:p>
        </w:tc>
      </w:tr>
      <w:tr>
        <w:trPr>
          <w:trHeight w:val="32"/>
        </w:trPr>
        <w:tc>
          <w:tcPr>
            <w:tcW w:w="7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Accrued expenses and other current liabilities</w:t>
            </w:r>
          </w:p>
        </w:tc>
        <w:tc>
          <w:tcPr>
            <w:tcW w:w="38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21,814</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14,691</w:t>
            </w:r>
          </w:p>
        </w:tc>
        <w:tc>
          <w:tcPr>
            <w:tcW w:w="0" w:type="dxa"/>
            <w:vAlign w:val="bottom"/>
          </w:tcPr>
          <w:p>
            <w:pPr>
              <w:spacing w:after="0"/>
              <w:rPr>
                <w:sz w:val="1"/>
                <w:szCs w:val="1"/>
                <w:color w:val="auto"/>
              </w:rPr>
            </w:pPr>
          </w:p>
        </w:tc>
      </w:tr>
      <w:tr>
        <w:trPr>
          <w:trHeight w:val="149"/>
        </w:trPr>
        <w:tc>
          <w:tcPr>
            <w:tcW w:w="71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Short-term portion of operating lease liabilities</w:t>
            </w:r>
          </w:p>
        </w:tc>
        <w:tc>
          <w:tcPr>
            <w:tcW w:w="380" w:type="dxa"/>
            <w:vAlign w:val="bottom"/>
          </w:tcPr>
          <w:p>
            <w:pPr>
              <w:spacing w:after="0"/>
              <w:rPr>
                <w:sz w:val="12"/>
                <w:szCs w:val="12"/>
                <w:color w:val="auto"/>
              </w:rPr>
            </w:pPr>
          </w:p>
        </w:tc>
        <w:tc>
          <w:tcPr>
            <w:tcW w:w="16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920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1,234</w:t>
            </w:r>
          </w:p>
        </w:tc>
        <w:tc>
          <w:tcPr>
            <w:tcW w:w="0" w:type="dxa"/>
            <w:vAlign w:val="bottom"/>
          </w:tcPr>
          <w:p>
            <w:pPr>
              <w:spacing w:after="0"/>
              <w:rPr>
                <w:sz w:val="1"/>
                <w:szCs w:val="1"/>
                <w:color w:val="auto"/>
              </w:rPr>
            </w:pPr>
          </w:p>
        </w:tc>
      </w:tr>
      <w:tr>
        <w:trPr>
          <w:trHeight w:val="32"/>
        </w:trPr>
        <w:tc>
          <w:tcPr>
            <w:tcW w:w="7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7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Total current liabilities</w:t>
            </w:r>
          </w:p>
        </w:tc>
        <w:tc>
          <w:tcPr>
            <w:tcW w:w="38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46,114</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rPr>
              <w:t>45,478</w:t>
            </w:r>
          </w:p>
        </w:tc>
        <w:tc>
          <w:tcPr>
            <w:tcW w:w="0" w:type="dxa"/>
            <w:vAlign w:val="bottom"/>
          </w:tcPr>
          <w:p>
            <w:pPr>
              <w:spacing w:after="0"/>
              <w:rPr>
                <w:sz w:val="1"/>
                <w:szCs w:val="1"/>
                <w:color w:val="auto"/>
              </w:rPr>
            </w:pPr>
          </w:p>
        </w:tc>
      </w:tr>
      <w:tr>
        <w:trPr>
          <w:trHeight w:val="192"/>
        </w:trPr>
        <w:tc>
          <w:tcPr>
            <w:tcW w:w="71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Non-current liabilities</w:t>
            </w:r>
          </w:p>
        </w:tc>
        <w:tc>
          <w:tcPr>
            <w:tcW w:w="38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1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Long-term debt</w:t>
            </w:r>
          </w:p>
        </w:tc>
        <w:tc>
          <w:tcPr>
            <w:tcW w:w="380" w:type="dxa"/>
            <w:vAlign w:val="bottom"/>
          </w:tcPr>
          <w:p>
            <w:pPr>
              <w:spacing w:after="0"/>
              <w:rPr>
                <w:sz w:val="12"/>
                <w:szCs w:val="12"/>
                <w:color w:val="auto"/>
              </w:rPr>
            </w:pPr>
          </w:p>
        </w:tc>
        <w:tc>
          <w:tcPr>
            <w:tcW w:w="16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99,018</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74,100</w:t>
            </w:r>
          </w:p>
        </w:tc>
        <w:tc>
          <w:tcPr>
            <w:tcW w:w="0" w:type="dxa"/>
            <w:vAlign w:val="bottom"/>
          </w:tcPr>
          <w:p>
            <w:pPr>
              <w:spacing w:after="0"/>
              <w:rPr>
                <w:sz w:val="1"/>
                <w:szCs w:val="1"/>
                <w:color w:val="auto"/>
              </w:rPr>
            </w:pPr>
          </w:p>
        </w:tc>
      </w:tr>
      <w:tr>
        <w:trPr>
          <w:trHeight w:val="32"/>
        </w:trPr>
        <w:tc>
          <w:tcPr>
            <w:tcW w:w="7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Long-term portion of operating lease liabilities</w:t>
            </w:r>
          </w:p>
        </w:tc>
        <w:tc>
          <w:tcPr>
            <w:tcW w:w="38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865</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374</w:t>
            </w:r>
          </w:p>
        </w:tc>
        <w:tc>
          <w:tcPr>
            <w:tcW w:w="0" w:type="dxa"/>
            <w:vAlign w:val="bottom"/>
          </w:tcPr>
          <w:p>
            <w:pPr>
              <w:spacing w:after="0"/>
              <w:rPr>
                <w:sz w:val="1"/>
                <w:szCs w:val="1"/>
                <w:color w:val="auto"/>
              </w:rPr>
            </w:pPr>
          </w:p>
        </w:tc>
      </w:tr>
      <w:tr>
        <w:trPr>
          <w:trHeight w:val="149"/>
        </w:trPr>
        <w:tc>
          <w:tcPr>
            <w:tcW w:w="71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Pension liability</w:t>
            </w:r>
          </w:p>
        </w:tc>
        <w:tc>
          <w:tcPr>
            <w:tcW w:w="380" w:type="dxa"/>
            <w:vAlign w:val="bottom"/>
          </w:tcPr>
          <w:p>
            <w:pPr>
              <w:spacing w:after="0"/>
              <w:rPr>
                <w:sz w:val="12"/>
                <w:szCs w:val="12"/>
                <w:color w:val="auto"/>
              </w:rPr>
            </w:pPr>
          </w:p>
        </w:tc>
        <w:tc>
          <w:tcPr>
            <w:tcW w:w="16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353</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7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7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Total non-current liabilities</w:t>
            </w:r>
          </w:p>
        </w:tc>
        <w:tc>
          <w:tcPr>
            <w:tcW w:w="38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100,236</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rPr>
              <w:t>74,474</w:t>
            </w:r>
          </w:p>
        </w:tc>
        <w:tc>
          <w:tcPr>
            <w:tcW w:w="0" w:type="dxa"/>
            <w:vAlign w:val="bottom"/>
          </w:tcPr>
          <w:p>
            <w:pPr>
              <w:spacing w:after="0"/>
              <w:rPr>
                <w:sz w:val="1"/>
                <w:szCs w:val="1"/>
                <w:color w:val="auto"/>
              </w:rPr>
            </w:pPr>
          </w:p>
        </w:tc>
      </w:tr>
      <w:tr>
        <w:trPr>
          <w:trHeight w:val="139"/>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3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146,350</w:t>
            </w: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rPr>
              <w:t>119,952</w:t>
            </w:r>
          </w:p>
        </w:tc>
        <w:tc>
          <w:tcPr>
            <w:tcW w:w="0" w:type="dxa"/>
            <w:vAlign w:val="bottom"/>
          </w:tcPr>
          <w:p>
            <w:pPr>
              <w:spacing w:after="0"/>
              <w:rPr>
                <w:sz w:val="1"/>
                <w:szCs w:val="1"/>
                <w:color w:val="auto"/>
              </w:rPr>
            </w:pPr>
          </w:p>
        </w:tc>
      </w:tr>
      <w:tr>
        <w:trPr>
          <w:trHeight w:val="32"/>
        </w:trPr>
        <w:tc>
          <w:tcPr>
            <w:tcW w:w="7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Commitments and contingencies (Note 15)</w:t>
            </w:r>
          </w:p>
        </w:tc>
        <w:tc>
          <w:tcPr>
            <w:tcW w:w="38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4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7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Shareholders' equity</w:t>
            </w:r>
          </w:p>
        </w:tc>
        <w:tc>
          <w:tcPr>
            <w:tcW w:w="38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Class A Ordinary Shares: $0.0001 par value per share; 500,000,000 shares authorized; 72,134,066 shares issued and outstanding as of March 31, 2026;</w:t>
            </w:r>
          </w:p>
        </w:tc>
        <w:tc>
          <w:tcPr>
            <w:tcW w:w="380" w:type="dxa"/>
            <w:vAlign w:val="bottom"/>
          </w:tcPr>
          <w:p>
            <w:pPr>
              <w:spacing w:after="0"/>
              <w:rPr>
                <w:sz w:val="12"/>
                <w:szCs w:val="12"/>
                <w:color w:val="auto"/>
              </w:rPr>
            </w:pPr>
          </w:p>
        </w:tc>
        <w:tc>
          <w:tcPr>
            <w:tcW w:w="1620" w:type="dxa"/>
            <w:vAlign w:val="bottom"/>
            <w:vMerge w:val="restart"/>
          </w:tcPr>
          <w:p>
            <w:pPr>
              <w:jc w:val="right"/>
              <w:ind w:right="27"/>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vMerge w:val="restart"/>
          </w:tcPr>
          <w:p>
            <w:pPr>
              <w:jc w:val="right"/>
              <w:ind w:right="47"/>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64"/>
        </w:trPr>
        <w:tc>
          <w:tcPr>
            <w:tcW w:w="718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auto"/>
              </w:rPr>
              <w:t>71,373,579 shares issued and outstanding as of December 31, 2025</w:t>
            </w:r>
          </w:p>
        </w:tc>
        <w:tc>
          <w:tcPr>
            <w:tcW w:w="3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718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38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786,313</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766,781</w:t>
            </w:r>
          </w:p>
        </w:tc>
        <w:tc>
          <w:tcPr>
            <w:tcW w:w="0" w:type="dxa"/>
            <w:vAlign w:val="bottom"/>
          </w:tcPr>
          <w:p>
            <w:pPr>
              <w:spacing w:after="0"/>
              <w:rPr>
                <w:sz w:val="1"/>
                <w:szCs w:val="1"/>
                <w:color w:val="auto"/>
              </w:rPr>
            </w:pPr>
          </w:p>
        </w:tc>
      </w:tr>
      <w:tr>
        <w:trPr>
          <w:trHeight w:val="149"/>
        </w:trPr>
        <w:tc>
          <w:tcPr>
            <w:tcW w:w="71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Accumulated deficit</w:t>
            </w:r>
          </w:p>
        </w:tc>
        <w:tc>
          <w:tcPr>
            <w:tcW w:w="380" w:type="dxa"/>
            <w:vAlign w:val="bottom"/>
          </w:tcPr>
          <w:p>
            <w:pPr>
              <w:spacing w:after="0"/>
              <w:rPr>
                <w:sz w:val="12"/>
                <w:szCs w:val="12"/>
                <w:color w:val="auto"/>
              </w:rPr>
            </w:pPr>
          </w:p>
        </w:tc>
        <w:tc>
          <w:tcPr>
            <w:tcW w:w="16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(532,618)</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(462,911)</w:t>
            </w:r>
          </w:p>
        </w:tc>
        <w:tc>
          <w:tcPr>
            <w:tcW w:w="0" w:type="dxa"/>
            <w:vAlign w:val="bottom"/>
          </w:tcPr>
          <w:p>
            <w:pPr>
              <w:spacing w:after="0"/>
              <w:rPr>
                <w:sz w:val="1"/>
                <w:szCs w:val="1"/>
                <w:color w:val="auto"/>
              </w:rPr>
            </w:pPr>
          </w:p>
        </w:tc>
      </w:tr>
      <w:tr>
        <w:trPr>
          <w:trHeight w:val="32"/>
        </w:trPr>
        <w:tc>
          <w:tcPr>
            <w:tcW w:w="7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Accumulated other comprehensive income</w:t>
            </w:r>
          </w:p>
        </w:tc>
        <w:tc>
          <w:tcPr>
            <w:tcW w:w="3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322</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604</w:t>
            </w:r>
          </w:p>
        </w:tc>
        <w:tc>
          <w:tcPr>
            <w:tcW w:w="0" w:type="dxa"/>
            <w:vAlign w:val="bottom"/>
          </w:tcPr>
          <w:p>
            <w:pPr>
              <w:spacing w:after="0"/>
              <w:rPr>
                <w:sz w:val="1"/>
                <w:szCs w:val="1"/>
                <w:color w:val="auto"/>
              </w:rPr>
            </w:pPr>
          </w:p>
        </w:tc>
      </w:tr>
      <w:tr>
        <w:trPr>
          <w:trHeight w:val="139"/>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shareholders’ equity</w:t>
            </w:r>
          </w:p>
        </w:tc>
        <w:tc>
          <w:tcPr>
            <w:tcW w:w="3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254,024</w:t>
            </w: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rPr>
              <w:t>304,481</w:t>
            </w:r>
          </w:p>
        </w:tc>
        <w:tc>
          <w:tcPr>
            <w:tcW w:w="0" w:type="dxa"/>
            <w:vAlign w:val="bottom"/>
          </w:tcPr>
          <w:p>
            <w:pPr>
              <w:spacing w:after="0"/>
              <w:rPr>
                <w:sz w:val="1"/>
                <w:szCs w:val="1"/>
                <w:color w:val="auto"/>
              </w:rPr>
            </w:pPr>
          </w:p>
        </w:tc>
      </w:tr>
      <w:tr>
        <w:trPr>
          <w:trHeight w:val="32"/>
        </w:trPr>
        <w:tc>
          <w:tcPr>
            <w:tcW w:w="7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 and shareholders' equity</w:t>
            </w:r>
          </w:p>
        </w:tc>
        <w:tc>
          <w:tcPr>
            <w:tcW w:w="380" w:type="dxa"/>
            <w:vAlign w:val="bottom"/>
            <w:tcBorders>
              <w:bottom w:val="single" w:sz="8" w:color="CCEEFF"/>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400,374</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47"/>
              <w:spacing w:after="0"/>
              <w:rPr>
                <w:sz w:val="20"/>
                <w:szCs w:val="20"/>
                <w:color w:val="auto"/>
              </w:rPr>
            </w:pPr>
            <w:r>
              <w:rPr>
                <w:rFonts w:ascii="Times New Roman" w:cs="Times New Roman" w:eastAsia="Times New Roman" w:hAnsi="Times New Roman"/>
                <w:sz w:val="11"/>
                <w:szCs w:val="11"/>
                <w:b w:val="1"/>
                <w:bCs w:val="1"/>
                <w:color w:val="auto"/>
              </w:rPr>
              <w:t>$</w:t>
            </w:r>
          </w:p>
        </w:tc>
        <w:tc>
          <w:tcPr>
            <w:tcW w:w="14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rPr>
              <w:t>424,433</w:t>
            </w:r>
          </w:p>
        </w:tc>
        <w:tc>
          <w:tcPr>
            <w:tcW w:w="0" w:type="dxa"/>
            <w:vAlign w:val="bottom"/>
          </w:tcPr>
          <w:p>
            <w:pPr>
              <w:spacing w:after="0"/>
              <w:rPr>
                <w:sz w:val="1"/>
                <w:szCs w:val="1"/>
                <w:color w:val="auto"/>
              </w:rPr>
            </w:pPr>
          </w:p>
        </w:tc>
      </w:tr>
      <w:tr>
        <w:trPr>
          <w:trHeight w:val="21"/>
        </w:trPr>
        <w:tc>
          <w:tcPr>
            <w:tcW w:w="7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LOSS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3"/>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780" w:type="dxa"/>
            <w:vAlign w:val="bottom"/>
            <w:tcBorders>
              <w:bottom w:val="single" w:sz="8" w:color="auto"/>
            </w:tcBorders>
          </w:tcPr>
          <w:p>
            <w:pPr>
              <w:spacing w:after="0"/>
              <w:rPr>
                <w:sz w:val="13"/>
                <w:szCs w:val="13"/>
                <w:color w:val="auto"/>
              </w:rPr>
            </w:pPr>
          </w:p>
        </w:tc>
      </w:tr>
      <w:tr>
        <w:trPr>
          <w:trHeight w:val="171"/>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i w:val="1"/>
                <w:iCs w:val="1"/>
                <w:color w:val="auto"/>
              </w:rPr>
              <w:t>(in thousands, except share and per share data)</w:t>
            </w: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2026</w:t>
            </w:r>
          </w:p>
        </w:tc>
        <w:tc>
          <w:tcPr>
            <w:tcW w:w="2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expenses</w:t>
            </w: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71"/>
        </w:trPr>
        <w:tc>
          <w:tcPr>
            <w:tcW w:w="61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Research and development</w:t>
            </w:r>
          </w:p>
        </w:tc>
        <w:tc>
          <w:tcPr>
            <w:tcW w:w="540" w:type="dxa"/>
            <w:vAlign w:val="bottom"/>
          </w:tcPr>
          <w:p>
            <w:pPr>
              <w:jc w:val="right"/>
              <w:ind w:right="38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(54,515)</w:t>
            </w:r>
          </w:p>
        </w:tc>
        <w:tc>
          <w:tcPr>
            <w:tcW w:w="220" w:type="dxa"/>
            <w:vAlign w:val="bottom"/>
          </w:tcPr>
          <w:p>
            <w:pPr>
              <w:spacing w:after="0"/>
              <w:rPr>
                <w:sz w:val="14"/>
                <w:szCs w:val="14"/>
                <w:color w:val="auto"/>
              </w:rPr>
            </w:pPr>
          </w:p>
        </w:tc>
        <w:tc>
          <w:tcPr>
            <w:tcW w:w="860" w:type="dxa"/>
            <w:vAlign w:val="bottom"/>
          </w:tcPr>
          <w:p>
            <w:pPr>
              <w:jc w:val="right"/>
              <w:ind w:right="7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(36,459)</w:t>
            </w:r>
          </w:p>
        </w:tc>
      </w:tr>
      <w:tr>
        <w:trPr>
          <w:trHeight w:val="190"/>
        </w:trPr>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5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(15,509)</w:t>
            </w:r>
          </w:p>
        </w:tc>
        <w:tc>
          <w:tcPr>
            <w:tcW w:w="22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(11,026)</w:t>
            </w:r>
          </w:p>
        </w:tc>
      </w:tr>
      <w:tr>
        <w:trPr>
          <w:trHeight w:val="162"/>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Total operating expenses</w:t>
            </w: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(70,024)</w:t>
            </w:r>
          </w:p>
        </w:tc>
        <w:tc>
          <w:tcPr>
            <w:tcW w:w="2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(47,485)</w:t>
            </w:r>
          </w:p>
        </w:tc>
      </w:tr>
      <w:tr>
        <w:trPr>
          <w:trHeight w:val="171"/>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loss</w:t>
            </w:r>
          </w:p>
        </w:tc>
        <w:tc>
          <w:tcPr>
            <w:tcW w:w="5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(70,024)</w:t>
            </w:r>
          </w:p>
        </w:tc>
        <w:tc>
          <w:tcPr>
            <w:tcW w:w="22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(47,485)</w:t>
            </w:r>
          </w:p>
        </w:tc>
      </w:tr>
      <w:tr>
        <w:trPr>
          <w:trHeight w:val="159"/>
        </w:trPr>
        <w:tc>
          <w:tcPr>
            <w:tcW w:w="6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0"/>
        </w:trPr>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Interest expense</w:t>
            </w: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(2,269)</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(18)</w:t>
            </w:r>
          </w:p>
        </w:tc>
      </w:tr>
      <w:tr>
        <w:trPr>
          <w:trHeight w:val="171"/>
        </w:trPr>
        <w:tc>
          <w:tcPr>
            <w:tcW w:w="6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1"/>
                <w:szCs w:val="11"/>
                <w:color w:val="auto"/>
              </w:rPr>
              <w:t>Other income, net</w:t>
            </w: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3,208</w:t>
            </w:r>
          </w:p>
        </w:tc>
        <w:tc>
          <w:tcPr>
            <w:tcW w:w="2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7,097</w:t>
            </w:r>
          </w:p>
        </w:tc>
      </w:tr>
      <w:tr>
        <w:trPr>
          <w:trHeight w:val="171"/>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Loss before income tax</w:t>
            </w:r>
          </w:p>
        </w:tc>
        <w:tc>
          <w:tcPr>
            <w:tcW w:w="5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(69,085)</w:t>
            </w:r>
          </w:p>
        </w:tc>
        <w:tc>
          <w:tcPr>
            <w:tcW w:w="22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(40,406)</w:t>
            </w:r>
          </w:p>
        </w:tc>
      </w:tr>
      <w:tr>
        <w:trPr>
          <w:trHeight w:val="191"/>
        </w:trPr>
        <w:tc>
          <w:tcPr>
            <w:tcW w:w="6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0"/>
        </w:trPr>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Income tax expense</w:t>
            </w:r>
          </w:p>
        </w:tc>
        <w:tc>
          <w:tcPr>
            <w:tcW w:w="5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(622)</w:t>
            </w:r>
          </w:p>
        </w:tc>
        <w:tc>
          <w:tcPr>
            <w:tcW w:w="22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(153)</w:t>
            </w:r>
          </w:p>
        </w:tc>
      </w:tr>
      <w:tr>
        <w:trPr>
          <w:trHeight w:val="162"/>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Net loss</w:t>
            </w:r>
          </w:p>
        </w:tc>
        <w:tc>
          <w:tcPr>
            <w:tcW w:w="5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(69,707)</w:t>
            </w:r>
          </w:p>
        </w:tc>
        <w:tc>
          <w:tcPr>
            <w:tcW w:w="2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(40,559)</w:t>
            </w:r>
          </w:p>
        </w:tc>
      </w:tr>
      <w:tr>
        <w:trPr>
          <w:trHeight w:val="180"/>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i w:val="1"/>
                <w:iCs w:val="1"/>
                <w:color w:val="auto"/>
              </w:rPr>
              <w:t>Of which: net loss attributable to controlling interests shareholders</w:t>
            </w: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i w:val="1"/>
                <w:iCs w:val="1"/>
                <w:color w:val="auto"/>
              </w:rPr>
              <w:t>(69,707)</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i w:val="1"/>
                <w:iCs w:val="1"/>
                <w:color w:val="auto"/>
              </w:rPr>
              <w:t>(39,944)</w:t>
            </w:r>
          </w:p>
        </w:tc>
      </w:tr>
      <w:tr>
        <w:trPr>
          <w:trHeight w:val="171"/>
        </w:trPr>
        <w:tc>
          <w:tcPr>
            <w:tcW w:w="6120" w:type="dxa"/>
            <w:vAlign w:val="bottom"/>
          </w:tcPr>
          <w:p>
            <w:pPr>
              <w:ind w:left="360"/>
              <w:spacing w:after="0"/>
              <w:rPr>
                <w:sz w:val="20"/>
                <w:szCs w:val="20"/>
                <w:color w:val="auto"/>
              </w:rPr>
            </w:pPr>
            <w:r>
              <w:rPr>
                <w:rFonts w:ascii="Times New Roman" w:cs="Times New Roman" w:eastAsia="Times New Roman" w:hAnsi="Times New Roman"/>
                <w:sz w:val="11"/>
                <w:szCs w:val="11"/>
                <w:i w:val="1"/>
                <w:iCs w:val="1"/>
                <w:color w:val="auto"/>
              </w:rPr>
              <w:t>Of which: net loss attributable to noncontrolling interests shareholders</w:t>
            </w:r>
          </w:p>
        </w:tc>
        <w:tc>
          <w:tcPr>
            <w:tcW w:w="54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i w:val="1"/>
                <w:iCs w:val="1"/>
                <w:color w:val="auto"/>
              </w:rPr>
              <w:t>—</w:t>
            </w:r>
          </w:p>
        </w:tc>
        <w:tc>
          <w:tcPr>
            <w:tcW w:w="86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i w:val="1"/>
                <w:iCs w:val="1"/>
                <w:color w:val="auto"/>
              </w:rPr>
              <w:t>(615)</w:t>
            </w:r>
          </w:p>
        </w:tc>
      </w:tr>
      <w:tr>
        <w:trPr>
          <w:trHeight w:val="201"/>
        </w:trPr>
        <w:tc>
          <w:tcPr>
            <w:tcW w:w="6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71"/>
        </w:trPr>
        <w:tc>
          <w:tcPr>
            <w:tcW w:w="61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Net unrealized gain (loss) on marketable securities and short-term investments</w:t>
            </w:r>
          </w:p>
        </w:tc>
        <w:tc>
          <w:tcPr>
            <w:tcW w:w="540" w:type="dxa"/>
            <w:vAlign w:val="bottom"/>
          </w:tcPr>
          <w:p>
            <w:pPr>
              <w:spacing w:after="0"/>
              <w:rPr>
                <w:sz w:val="14"/>
                <w:szCs w:val="14"/>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77</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(2,756)</w:t>
            </w:r>
          </w:p>
        </w:tc>
      </w:tr>
      <w:tr>
        <w:trPr>
          <w:trHeight w:val="190"/>
        </w:trPr>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Actuarial gain (loss) on employee benefit plans</w:t>
            </w:r>
          </w:p>
        </w:tc>
        <w:tc>
          <w:tcPr>
            <w:tcW w:w="5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(359)</w:t>
            </w:r>
          </w:p>
        </w:tc>
        <w:tc>
          <w:tcPr>
            <w:tcW w:w="22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95</w:t>
            </w:r>
          </w:p>
        </w:tc>
      </w:tr>
      <w:tr>
        <w:trPr>
          <w:trHeight w:val="162"/>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Other comprehensive loss</w:t>
            </w: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(282)</w:t>
            </w:r>
          </w:p>
        </w:tc>
        <w:tc>
          <w:tcPr>
            <w:tcW w:w="2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(2,661)</w:t>
            </w:r>
          </w:p>
        </w:tc>
      </w:tr>
      <w:tr>
        <w:trPr>
          <w:trHeight w:val="191"/>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540" w:type="dxa"/>
            <w:vAlign w:val="bottom"/>
            <w:tcBorders>
              <w:bottom w:val="single" w:sz="8" w:color="auto"/>
            </w:tcBorders>
            <w:shd w:val="clear" w:color="auto" w:fill="CCEEFF"/>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(69,989)</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(43,220)</w:t>
            </w:r>
          </w:p>
        </w:tc>
      </w:tr>
      <w:tr>
        <w:trPr>
          <w:trHeight w:val="161"/>
        </w:trPr>
        <w:tc>
          <w:tcPr>
            <w:tcW w:w="6120" w:type="dxa"/>
            <w:vAlign w:val="bottom"/>
          </w:tcPr>
          <w:p>
            <w:pPr>
              <w:ind w:left="360"/>
              <w:spacing w:after="0"/>
              <w:rPr>
                <w:sz w:val="20"/>
                <w:szCs w:val="20"/>
                <w:color w:val="auto"/>
              </w:rPr>
            </w:pPr>
            <w:r>
              <w:rPr>
                <w:rFonts w:ascii="Times New Roman" w:cs="Times New Roman" w:eastAsia="Times New Roman" w:hAnsi="Times New Roman"/>
                <w:sz w:val="11"/>
                <w:szCs w:val="11"/>
                <w:i w:val="1"/>
                <w:iCs w:val="1"/>
                <w:color w:val="auto"/>
              </w:rPr>
              <w:t>Comprehensive loss attributable to controlling interests shareholders</w:t>
            </w:r>
          </w:p>
        </w:tc>
        <w:tc>
          <w:tcPr>
            <w:tcW w:w="540" w:type="dxa"/>
            <w:vAlign w:val="bottom"/>
          </w:tcPr>
          <w:p>
            <w:pPr>
              <w:spacing w:after="0"/>
              <w:rPr>
                <w:sz w:val="14"/>
                <w:szCs w:val="14"/>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1"/>
                <w:szCs w:val="11"/>
                <w:i w:val="1"/>
                <w:iCs w:val="1"/>
                <w:color w:val="auto"/>
              </w:rPr>
              <w:t>(69,989)</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i w:val="1"/>
                <w:iCs w:val="1"/>
                <w:color w:val="auto"/>
              </w:rPr>
              <w:t>(42,564)</w:t>
            </w:r>
          </w:p>
        </w:tc>
      </w:tr>
      <w:tr>
        <w:trPr>
          <w:trHeight w:val="190"/>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i w:val="1"/>
                <w:iCs w:val="1"/>
                <w:color w:val="auto"/>
              </w:rPr>
              <w:t>Comprehensive loss attributable to noncontrolling interests</w:t>
            </w:r>
          </w:p>
        </w:tc>
        <w:tc>
          <w:tcPr>
            <w:tcW w:w="5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1"/>
                <w:szCs w:val="11"/>
                <w:i w:val="1"/>
                <w:iCs w:val="1"/>
                <w:color w:val="auto"/>
              </w:rPr>
              <w:t>—</w:t>
            </w:r>
          </w:p>
        </w:tc>
        <w:tc>
          <w:tcPr>
            <w:tcW w:w="8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i w:val="1"/>
                <w:iCs w:val="1"/>
                <w:color w:val="auto"/>
              </w:rPr>
              <w:t>(656)</w:t>
            </w:r>
          </w:p>
        </w:tc>
      </w:tr>
      <w:tr>
        <w:trPr>
          <w:trHeight w:val="191"/>
        </w:trPr>
        <w:tc>
          <w:tcPr>
            <w:tcW w:w="6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71"/>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Weighted-average number of Class A Ordinary Shares, basic and diluted</w:t>
            </w:r>
          </w:p>
        </w:tc>
        <w:tc>
          <w:tcPr>
            <w:tcW w:w="5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71,273,650</w:t>
            </w:r>
          </w:p>
        </w:tc>
        <w:tc>
          <w:tcPr>
            <w:tcW w:w="22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63,233,788</w:t>
            </w:r>
          </w:p>
        </w:tc>
      </w:tr>
      <w:tr>
        <w:trPr>
          <w:trHeight w:val="182"/>
        </w:trPr>
        <w:tc>
          <w:tcPr>
            <w:tcW w:w="6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Basic and diluted net loss per share attributable to controlling interests shareholders</w:t>
            </w:r>
          </w:p>
        </w:tc>
        <w:tc>
          <w:tcPr>
            <w:tcW w:w="5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(0.98)</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(0.63)</w:t>
            </w:r>
          </w:p>
        </w:tc>
      </w:tr>
    </w:tbl>
    <w:p>
      <w:pPr>
        <w:spacing w:after="0" w:line="2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163830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620"/>
          </w:cols>
          <w:pgMar w:left="1140" w:top="123" w:right="11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EQUITY</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95"/>
        </w:trPr>
        <w:tc>
          <w:tcPr>
            <w:tcW w:w="1480" w:type="dxa"/>
            <w:vAlign w:val="bottom"/>
          </w:tcPr>
          <w:p>
            <w:pPr>
              <w:spacing w:after="0"/>
              <w:rPr>
                <w:sz w:val="8"/>
                <w:szCs w:val="8"/>
                <w:color w:val="auto"/>
              </w:rPr>
            </w:pPr>
          </w:p>
        </w:tc>
        <w:tc>
          <w:tcPr>
            <w:tcW w:w="1180" w:type="dxa"/>
            <w:vAlign w:val="bottom"/>
            <w:gridSpan w:val="3"/>
          </w:tcPr>
          <w:p>
            <w:pPr>
              <w:jc w:val="right"/>
              <w:ind w:right="201"/>
              <w:spacing w:after="0"/>
              <w:rPr>
                <w:sz w:val="20"/>
                <w:szCs w:val="20"/>
                <w:color w:val="auto"/>
              </w:rPr>
            </w:pPr>
            <w:r>
              <w:rPr>
                <w:rFonts w:ascii="Times New Roman" w:cs="Times New Roman" w:eastAsia="Times New Roman" w:hAnsi="Times New Roman"/>
                <w:sz w:val="8"/>
                <w:szCs w:val="8"/>
                <w:b w:val="1"/>
                <w:bCs w:val="1"/>
                <w:color w:val="auto"/>
              </w:rPr>
              <w:t>Class A Ordinary Shares</w:t>
            </w: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8"/>
                <w:szCs w:val="8"/>
                <w:b w:val="1"/>
                <w:bCs w:val="1"/>
                <w:color w:val="auto"/>
              </w:rPr>
              <w:t>Class C Ordinary Shares</w:t>
            </w:r>
          </w:p>
        </w:tc>
        <w:tc>
          <w:tcPr>
            <w:tcW w:w="160" w:type="dxa"/>
            <w:vAlign w:val="bottom"/>
          </w:tcPr>
          <w:p>
            <w:pPr>
              <w:spacing w:after="0"/>
              <w:rPr>
                <w:sz w:val="8"/>
                <w:szCs w:val="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8"/>
                <w:szCs w:val="8"/>
                <w:b w:val="1"/>
                <w:bCs w:val="1"/>
                <w:color w:val="auto"/>
              </w:rPr>
              <w:t>Additional Paid-In Capital</w:t>
            </w:r>
          </w:p>
        </w:tc>
        <w:tc>
          <w:tcPr>
            <w:tcW w:w="260" w:type="dxa"/>
            <w:vAlign w:val="bottom"/>
          </w:tcPr>
          <w:p>
            <w:pPr>
              <w:spacing w:after="0"/>
              <w:rPr>
                <w:sz w:val="8"/>
                <w:szCs w:val="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8"/>
                <w:szCs w:val="8"/>
                <w:b w:val="1"/>
                <w:bCs w:val="1"/>
                <w:color w:val="auto"/>
              </w:rPr>
              <w:t>Accumulated Deficit</w:t>
            </w:r>
          </w:p>
        </w:tc>
        <w:tc>
          <w:tcPr>
            <w:tcW w:w="200" w:type="dxa"/>
            <w:vAlign w:val="bottom"/>
          </w:tcPr>
          <w:p>
            <w:pPr>
              <w:spacing w:after="0"/>
              <w:rPr>
                <w:sz w:val="8"/>
                <w:szCs w:val="8"/>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8"/>
                <w:szCs w:val="8"/>
                <w:b w:val="1"/>
                <w:bCs w:val="1"/>
                <w:color w:val="auto"/>
              </w:rPr>
              <w:t>Accumulated Other</w:t>
            </w:r>
          </w:p>
        </w:tc>
        <w:tc>
          <w:tcPr>
            <w:tcW w:w="140" w:type="dxa"/>
            <w:vAlign w:val="bottom"/>
          </w:tcPr>
          <w:p>
            <w:pPr>
              <w:spacing w:after="0"/>
              <w:rPr>
                <w:sz w:val="8"/>
                <w:szCs w:val="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8"/>
                <w:szCs w:val="8"/>
                <w:b w:val="1"/>
                <w:bCs w:val="1"/>
                <w:color w:val="auto"/>
              </w:rPr>
              <w:t>Total Shareholders' Equity</w:t>
            </w:r>
          </w:p>
        </w:tc>
        <w:tc>
          <w:tcPr>
            <w:tcW w:w="200" w:type="dxa"/>
            <w:vAlign w:val="bottom"/>
          </w:tcPr>
          <w:p>
            <w:pPr>
              <w:spacing w:after="0"/>
              <w:rPr>
                <w:sz w:val="8"/>
                <w:szCs w:val="8"/>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8"/>
                <w:szCs w:val="8"/>
                <w:b w:val="1"/>
                <w:bCs w:val="1"/>
                <w:color w:val="auto"/>
              </w:rPr>
              <w:t>Noncontrolling Interests</w:t>
            </w:r>
          </w:p>
        </w:tc>
        <w:tc>
          <w:tcPr>
            <w:tcW w:w="400" w:type="dxa"/>
            <w:vAlign w:val="bottom"/>
          </w:tcPr>
          <w:p>
            <w:pPr>
              <w:spacing w:after="0"/>
              <w:rPr>
                <w:sz w:val="8"/>
                <w:szCs w:val="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Total Equity</w:t>
            </w:r>
          </w:p>
        </w:tc>
        <w:tc>
          <w:tcPr>
            <w:tcW w:w="0" w:type="dxa"/>
            <w:vAlign w:val="bottom"/>
          </w:tcPr>
          <w:p>
            <w:pPr>
              <w:spacing w:after="0"/>
              <w:rPr>
                <w:sz w:val="1"/>
                <w:szCs w:val="1"/>
                <w:color w:val="auto"/>
              </w:rPr>
            </w:pPr>
          </w:p>
        </w:tc>
      </w:tr>
      <w:tr>
        <w:trPr>
          <w:trHeight w:val="101"/>
        </w:trPr>
        <w:tc>
          <w:tcPr>
            <w:tcW w:w="1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8"/>
                <w:szCs w:val="8"/>
                <w:b w:val="1"/>
                <w:bCs w:val="1"/>
                <w:color w:val="auto"/>
              </w:rPr>
              <w:t>Comprehensive Income</w:t>
            </w: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480" w:type="dxa"/>
            <w:vAlign w:val="bottom"/>
          </w:tcPr>
          <w:p>
            <w:pPr>
              <w:spacing w:after="0"/>
              <w:rPr>
                <w:sz w:val="17"/>
                <w:szCs w:val="17"/>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8"/>
                <w:szCs w:val="8"/>
                <w:b w:val="1"/>
                <w:bCs w:val="1"/>
                <w:color w:val="auto"/>
              </w:rPr>
              <w:t>Shares</w:t>
            </w:r>
          </w:p>
        </w:tc>
        <w:tc>
          <w:tcPr>
            <w:tcW w:w="160" w:type="dxa"/>
            <w:vAlign w:val="bottom"/>
          </w:tcPr>
          <w:p>
            <w:pPr>
              <w:spacing w:after="0"/>
              <w:rPr>
                <w:sz w:val="17"/>
                <w:szCs w:val="17"/>
                <w:color w:val="auto"/>
              </w:rPr>
            </w:pPr>
          </w:p>
        </w:tc>
        <w:tc>
          <w:tcPr>
            <w:tcW w:w="460" w:type="dxa"/>
            <w:vAlign w:val="bottom"/>
          </w:tcPr>
          <w:p>
            <w:pPr>
              <w:jc w:val="right"/>
              <w:ind w:right="41"/>
              <w:spacing w:after="0"/>
              <w:rPr>
                <w:sz w:val="20"/>
                <w:szCs w:val="20"/>
                <w:color w:val="auto"/>
              </w:rPr>
            </w:pPr>
            <w:r>
              <w:rPr>
                <w:rFonts w:ascii="Times New Roman" w:cs="Times New Roman" w:eastAsia="Times New Roman" w:hAnsi="Times New Roman"/>
                <w:sz w:val="8"/>
                <w:szCs w:val="8"/>
                <w:b w:val="1"/>
                <w:bCs w:val="1"/>
                <w:color w:val="auto"/>
              </w:rPr>
              <w:t>Amount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8"/>
                <w:szCs w:val="8"/>
                <w:b w:val="1"/>
                <w:bCs w:val="1"/>
                <w:color w:val="auto"/>
              </w:rPr>
              <w:t>Shares</w:t>
            </w:r>
          </w:p>
        </w:tc>
        <w:tc>
          <w:tcPr>
            <w:tcW w:w="180" w:type="dxa"/>
            <w:vAlign w:val="bottom"/>
          </w:tcPr>
          <w:p>
            <w:pPr>
              <w:spacing w:after="0"/>
              <w:rPr>
                <w:sz w:val="17"/>
                <w:szCs w:val="17"/>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8"/>
                <w:szCs w:val="8"/>
                <w:b w:val="1"/>
                <w:bCs w:val="1"/>
                <w:color w:val="auto"/>
              </w:rPr>
              <w:t>Amount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148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(in thousands except share data)</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9"/>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Balance at January 1, 2025</w:t>
            </w:r>
          </w:p>
        </w:tc>
        <w:tc>
          <w:tcPr>
            <w:tcW w:w="5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b w:val="1"/>
                <w:bCs w:val="1"/>
                <w:color w:val="auto"/>
              </w:rPr>
              <w:t>63,077,431</w:t>
            </w:r>
          </w:p>
        </w:tc>
        <w:tc>
          <w:tcPr>
            <w:tcW w:w="1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b w:val="1"/>
                <w:bCs w:val="1"/>
                <w:color w:val="auto"/>
              </w:rPr>
              <w:t>$</w:t>
            </w:r>
          </w:p>
        </w:tc>
        <w:tc>
          <w:tcPr>
            <w:tcW w:w="4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8"/>
                <w:szCs w:val="8"/>
                <w:b w:val="1"/>
                <w:bCs w:val="1"/>
                <w:color w:val="auto"/>
              </w:rPr>
              <w:t>6</w:t>
            </w: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b w:val="1"/>
                <w:bCs w:val="1"/>
                <w:color w:val="auto"/>
              </w:rPr>
              <w:t>841,269</w:t>
            </w:r>
          </w:p>
        </w:tc>
        <w:tc>
          <w:tcPr>
            <w:tcW w:w="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b w:val="1"/>
                <w:bCs w:val="1"/>
                <w:color w:val="auto"/>
              </w:rPr>
              <w:t>$</w:t>
            </w:r>
          </w:p>
        </w:tc>
        <w:tc>
          <w:tcPr>
            <w:tcW w:w="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8"/>
                <w:szCs w:val="8"/>
                <w:b w:val="1"/>
                <w:bCs w:val="1"/>
                <w:color w:val="auto"/>
              </w:rPr>
              <w:t>—</w:t>
            </w:r>
          </w:p>
        </w:tc>
        <w:tc>
          <w:tcPr>
            <w:tcW w:w="1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b w:val="1"/>
                <w:bCs w:val="1"/>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b w:val="1"/>
                <w:bCs w:val="1"/>
                <w:color w:val="auto"/>
              </w:rPr>
              <w:t>677,415</w:t>
            </w:r>
          </w:p>
        </w:tc>
        <w:tc>
          <w:tcPr>
            <w:tcW w:w="26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b w:val="1"/>
                <w:bCs w:val="1"/>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b w:val="1"/>
                <w:bCs w:val="1"/>
                <w:color w:val="auto"/>
              </w:rPr>
              <w:t>(235,593)</w:t>
            </w:r>
          </w:p>
        </w:tc>
        <w:tc>
          <w:tcPr>
            <w:tcW w:w="2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8"/>
                <w:szCs w:val="8"/>
                <w:b w:val="1"/>
                <w:bCs w:val="1"/>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b w:val="1"/>
                <w:bCs w:val="1"/>
                <w:color w:val="auto"/>
              </w:rPr>
              <w:t>4,997</w:t>
            </w:r>
          </w:p>
        </w:tc>
        <w:tc>
          <w:tcPr>
            <w:tcW w:w="1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b w:val="1"/>
                <w:bCs w:val="1"/>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b w:val="1"/>
                <w:bCs w:val="1"/>
                <w:color w:val="auto"/>
              </w:rPr>
              <w:t>446,825</w:t>
            </w:r>
          </w:p>
        </w:tc>
        <w:tc>
          <w:tcPr>
            <w:tcW w:w="2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8"/>
                <w:szCs w:val="8"/>
                <w:b w:val="1"/>
                <w:bCs w:val="1"/>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b w:val="1"/>
                <w:bCs w:val="1"/>
                <w:color w:val="auto"/>
              </w:rPr>
              <w:t>6,566</w:t>
            </w:r>
          </w:p>
        </w:tc>
        <w:tc>
          <w:tcPr>
            <w:tcW w:w="400" w:type="dxa"/>
            <w:vAlign w:val="bottom"/>
            <w:tcBorders>
              <w:bottom w:val="single" w:sz="8" w:color="CCEEFF"/>
            </w:tcBorders>
            <w:shd w:val="clear" w:color="auto" w:fill="CCEEFF"/>
          </w:tcPr>
          <w:p>
            <w:pPr>
              <w:jc w:val="right"/>
              <w:ind w:right="281"/>
              <w:spacing w:after="0"/>
              <w:rPr>
                <w:sz w:val="20"/>
                <w:szCs w:val="20"/>
                <w:color w:val="auto"/>
              </w:rPr>
            </w:pPr>
            <w:r>
              <w:rPr>
                <w:rFonts w:ascii="Times New Roman" w:cs="Times New Roman" w:eastAsia="Times New Roman" w:hAnsi="Times New Roman"/>
                <w:sz w:val="8"/>
                <w:szCs w:val="8"/>
                <w:b w:val="1"/>
                <w:bCs w:val="1"/>
                <w:color w:val="auto"/>
              </w:rPr>
              <w:t>$</w:t>
            </w: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b w:val="1"/>
                <w:bCs w:val="1"/>
                <w:color w:val="auto"/>
              </w:rPr>
              <w:t>453,391</w:t>
            </w:r>
          </w:p>
        </w:tc>
        <w:tc>
          <w:tcPr>
            <w:tcW w:w="0" w:type="dxa"/>
            <w:vAlign w:val="bottom"/>
          </w:tcPr>
          <w:p>
            <w:pPr>
              <w:spacing w:after="0"/>
              <w:rPr>
                <w:sz w:val="1"/>
                <w:szCs w:val="1"/>
                <w:color w:val="auto"/>
              </w:rPr>
            </w:pPr>
          </w:p>
        </w:tc>
      </w:tr>
      <w:tr>
        <w:trPr>
          <w:trHeight w:val="114"/>
        </w:trPr>
        <w:tc>
          <w:tcPr>
            <w:tcW w:w="1480" w:type="dxa"/>
            <w:vAlign w:val="bottom"/>
          </w:tcPr>
          <w:p>
            <w:pPr>
              <w:ind w:left="20"/>
              <w:spacing w:after="0"/>
              <w:rPr>
                <w:sz w:val="20"/>
                <w:szCs w:val="20"/>
                <w:color w:val="auto"/>
              </w:rPr>
            </w:pPr>
            <w:r>
              <w:rPr>
                <w:rFonts w:ascii="Times New Roman" w:cs="Times New Roman" w:eastAsia="Times New Roman" w:hAnsi="Times New Roman"/>
                <w:sz w:val="8"/>
                <w:szCs w:val="8"/>
                <w:color w:val="auto"/>
              </w:rPr>
              <w:t>Share-based compensation under the</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480" w:type="dxa"/>
            <w:vAlign w:val="bottom"/>
          </w:tcPr>
          <w:p>
            <w:pPr>
              <w:ind w:left="20"/>
              <w:spacing w:after="0"/>
              <w:rPr>
                <w:sz w:val="20"/>
                <w:szCs w:val="20"/>
                <w:color w:val="auto"/>
              </w:rPr>
            </w:pPr>
            <w:r>
              <w:rPr>
                <w:rFonts w:ascii="Times New Roman" w:cs="Times New Roman" w:eastAsia="Times New Roman" w:hAnsi="Times New Roman"/>
                <w:sz w:val="8"/>
                <w:szCs w:val="8"/>
                <w:color w:val="auto"/>
              </w:rPr>
              <w:t>Employee Share Participation Plan and</w:t>
            </w:r>
          </w:p>
        </w:tc>
        <w:tc>
          <w:tcPr>
            <w:tcW w:w="560" w:type="dxa"/>
            <w:vAlign w:val="bottom"/>
            <w:vMerge w:val="restart"/>
          </w:tcPr>
          <w:p>
            <w:pPr>
              <w:jc w:val="right"/>
              <w:ind w:right="41"/>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8"/>
                <w:szCs w:val="8"/>
                <w:color w:val="auto"/>
              </w:rPr>
            </w:pPr>
          </w:p>
        </w:tc>
        <w:tc>
          <w:tcPr>
            <w:tcW w:w="460" w:type="dxa"/>
            <w:vAlign w:val="bottom"/>
            <w:vMerge w:val="restart"/>
          </w:tcPr>
          <w:p>
            <w:pPr>
              <w:jc w:val="right"/>
              <w:ind w:right="81"/>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vMerge w:val="restart"/>
          </w:tcPr>
          <w:p>
            <w:pPr>
              <w:jc w:val="right"/>
              <w:ind w:right="21"/>
              <w:spacing w:after="0"/>
              <w:rPr>
                <w:sz w:val="20"/>
                <w:szCs w:val="20"/>
                <w:color w:val="auto"/>
              </w:rPr>
            </w:pPr>
            <w:r>
              <w:rPr>
                <w:rFonts w:ascii="Times New Roman" w:cs="Times New Roman" w:eastAsia="Times New Roman" w:hAnsi="Times New Roman"/>
                <w:sz w:val="8"/>
                <w:szCs w:val="8"/>
                <w:color w:val="auto"/>
              </w:rPr>
              <w:t>—</w:t>
            </w:r>
          </w:p>
        </w:tc>
        <w:tc>
          <w:tcPr>
            <w:tcW w:w="180" w:type="dxa"/>
            <w:vAlign w:val="bottom"/>
          </w:tcPr>
          <w:p>
            <w:pPr>
              <w:spacing w:after="0"/>
              <w:rPr>
                <w:sz w:val="8"/>
                <w:szCs w:val="8"/>
                <w:color w:val="auto"/>
              </w:rPr>
            </w:pP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8"/>
                <w:szCs w:val="8"/>
                <w:color w:val="auto"/>
              </w:rPr>
            </w:pPr>
          </w:p>
        </w:tc>
        <w:tc>
          <w:tcPr>
            <w:tcW w:w="1000" w:type="dxa"/>
            <w:vAlign w:val="bottom"/>
            <w:vMerge w:val="restart"/>
          </w:tcPr>
          <w:p>
            <w:pPr>
              <w:jc w:val="right"/>
              <w:ind w:right="21"/>
              <w:spacing w:after="0"/>
              <w:rPr>
                <w:sz w:val="20"/>
                <w:szCs w:val="20"/>
                <w:color w:val="auto"/>
              </w:rPr>
            </w:pPr>
            <w:r>
              <w:rPr>
                <w:rFonts w:ascii="Times New Roman" w:cs="Times New Roman" w:eastAsia="Times New Roman" w:hAnsi="Times New Roman"/>
                <w:sz w:val="8"/>
                <w:szCs w:val="8"/>
                <w:color w:val="auto"/>
              </w:rPr>
              <w:t>2,279</w:t>
            </w:r>
          </w:p>
        </w:tc>
        <w:tc>
          <w:tcPr>
            <w:tcW w:w="260" w:type="dxa"/>
            <w:vAlign w:val="bottom"/>
          </w:tcPr>
          <w:p>
            <w:pPr>
              <w:spacing w:after="0"/>
              <w:rPr>
                <w:sz w:val="8"/>
                <w:szCs w:val="8"/>
                <w:color w:val="auto"/>
              </w:rPr>
            </w:pPr>
          </w:p>
        </w:tc>
        <w:tc>
          <w:tcPr>
            <w:tcW w:w="900" w:type="dxa"/>
            <w:vAlign w:val="bottom"/>
            <w:vMerge w:val="restart"/>
          </w:tcPr>
          <w:p>
            <w:pPr>
              <w:jc w:val="right"/>
              <w:ind w:right="41"/>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8"/>
                <w:szCs w:val="8"/>
                <w:color w:val="auto"/>
              </w:rPr>
            </w:pPr>
          </w:p>
        </w:tc>
        <w:tc>
          <w:tcPr>
            <w:tcW w:w="960" w:type="dxa"/>
            <w:vAlign w:val="bottom"/>
            <w:vMerge w:val="restart"/>
          </w:tcPr>
          <w:p>
            <w:pPr>
              <w:jc w:val="right"/>
              <w:ind w:right="41"/>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8"/>
                <w:szCs w:val="8"/>
                <w:color w:val="auto"/>
              </w:rPr>
            </w:pPr>
          </w:p>
        </w:tc>
        <w:tc>
          <w:tcPr>
            <w:tcW w:w="1000" w:type="dxa"/>
            <w:vAlign w:val="bottom"/>
            <w:vMerge w:val="restart"/>
          </w:tcPr>
          <w:p>
            <w:pPr>
              <w:jc w:val="right"/>
              <w:ind w:right="21"/>
              <w:spacing w:after="0"/>
              <w:rPr>
                <w:sz w:val="20"/>
                <w:szCs w:val="20"/>
                <w:color w:val="auto"/>
              </w:rPr>
            </w:pPr>
            <w:r>
              <w:rPr>
                <w:rFonts w:ascii="Times New Roman" w:cs="Times New Roman" w:eastAsia="Times New Roman" w:hAnsi="Times New Roman"/>
                <w:sz w:val="8"/>
                <w:szCs w:val="8"/>
                <w:b w:val="1"/>
                <w:bCs w:val="1"/>
                <w:color w:val="auto"/>
              </w:rPr>
              <w:t>2,279</w:t>
            </w:r>
          </w:p>
        </w:tc>
        <w:tc>
          <w:tcPr>
            <w:tcW w:w="200" w:type="dxa"/>
            <w:vAlign w:val="bottom"/>
          </w:tcPr>
          <w:p>
            <w:pPr>
              <w:spacing w:after="0"/>
              <w:rPr>
                <w:sz w:val="8"/>
                <w:szCs w:val="8"/>
                <w:color w:val="auto"/>
              </w:rPr>
            </w:pPr>
          </w:p>
        </w:tc>
        <w:tc>
          <w:tcPr>
            <w:tcW w:w="960" w:type="dxa"/>
            <w:vAlign w:val="bottom"/>
            <w:vMerge w:val="restart"/>
          </w:tcPr>
          <w:p>
            <w:pPr>
              <w:jc w:val="right"/>
              <w:ind w:right="21"/>
              <w:spacing w:after="0"/>
              <w:rPr>
                <w:sz w:val="20"/>
                <w:szCs w:val="20"/>
                <w:color w:val="auto"/>
              </w:rPr>
            </w:pPr>
            <w:r>
              <w:rPr>
                <w:rFonts w:ascii="Times New Roman" w:cs="Times New Roman" w:eastAsia="Times New Roman" w:hAnsi="Times New Roman"/>
                <w:sz w:val="8"/>
                <w:szCs w:val="8"/>
                <w:b w:val="1"/>
                <w:bCs w:val="1"/>
                <w:color w:val="auto"/>
              </w:rPr>
              <w:t>11</w:t>
            </w:r>
          </w:p>
        </w:tc>
        <w:tc>
          <w:tcPr>
            <w:tcW w:w="400" w:type="dxa"/>
            <w:vAlign w:val="bottom"/>
          </w:tcPr>
          <w:p>
            <w:pPr>
              <w:spacing w:after="0"/>
              <w:rPr>
                <w:sz w:val="8"/>
                <w:szCs w:val="8"/>
                <w:color w:val="auto"/>
              </w:rPr>
            </w:pPr>
          </w:p>
        </w:tc>
        <w:tc>
          <w:tcPr>
            <w:tcW w:w="740" w:type="dxa"/>
            <w:vAlign w:val="bottom"/>
            <w:vMerge w:val="restart"/>
          </w:tcPr>
          <w:p>
            <w:pPr>
              <w:jc w:val="right"/>
              <w:ind w:right="1"/>
              <w:spacing w:after="0"/>
              <w:rPr>
                <w:sz w:val="20"/>
                <w:szCs w:val="20"/>
                <w:color w:val="auto"/>
              </w:rPr>
            </w:pPr>
            <w:r>
              <w:rPr>
                <w:rFonts w:ascii="Times New Roman" w:cs="Times New Roman" w:eastAsia="Times New Roman" w:hAnsi="Times New Roman"/>
                <w:sz w:val="8"/>
                <w:szCs w:val="8"/>
                <w:b w:val="1"/>
                <w:bCs w:val="1"/>
                <w:color w:val="auto"/>
              </w:rPr>
              <w:t>2,290</w:t>
            </w:r>
          </w:p>
        </w:tc>
        <w:tc>
          <w:tcPr>
            <w:tcW w:w="0" w:type="dxa"/>
            <w:vAlign w:val="bottom"/>
          </w:tcPr>
          <w:p>
            <w:pPr>
              <w:spacing w:after="0"/>
              <w:rPr>
                <w:sz w:val="1"/>
                <w:szCs w:val="1"/>
                <w:color w:val="auto"/>
              </w:rPr>
            </w:pPr>
          </w:p>
        </w:tc>
      </w:tr>
      <w:tr>
        <w:trPr>
          <w:trHeight w:val="57"/>
        </w:trPr>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MoonLake Immunotherapeutics 2022</w:t>
            </w:r>
          </w:p>
        </w:tc>
        <w:tc>
          <w:tcPr>
            <w:tcW w:w="5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14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9"/>
        </w:trPr>
        <w:tc>
          <w:tcPr>
            <w:tcW w:w="1480" w:type="dxa"/>
            <w:vAlign w:val="bottom"/>
          </w:tcPr>
          <w:p>
            <w:pPr>
              <w:ind w:left="20"/>
              <w:spacing w:after="0"/>
              <w:rPr>
                <w:sz w:val="20"/>
                <w:szCs w:val="20"/>
                <w:color w:val="auto"/>
              </w:rPr>
            </w:pPr>
            <w:r>
              <w:rPr>
                <w:rFonts w:ascii="Times New Roman" w:cs="Times New Roman" w:eastAsia="Times New Roman" w:hAnsi="Times New Roman"/>
                <w:sz w:val="8"/>
                <w:szCs w:val="8"/>
                <w:color w:val="auto"/>
              </w:rPr>
              <w:t>Equity Incentive Plan</w:t>
            </w: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Conversion of MoonLake Class C Ordinary</w:t>
            </w:r>
          </w:p>
        </w:tc>
        <w:tc>
          <w:tcPr>
            <w:tcW w:w="56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111,949</w:t>
            </w:r>
          </w:p>
        </w:tc>
        <w:tc>
          <w:tcPr>
            <w:tcW w:w="16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rPr>
              <w:t>(111,949)</w:t>
            </w:r>
          </w:p>
        </w:tc>
        <w:tc>
          <w:tcPr>
            <w:tcW w:w="1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color w:val="auto"/>
              </w:rPr>
              <w:t>841</w:t>
            </w:r>
          </w:p>
        </w:tc>
        <w:tc>
          <w:tcPr>
            <w:tcW w:w="26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10</w:t>
            </w:r>
          </w:p>
        </w:tc>
        <w:tc>
          <w:tcPr>
            <w:tcW w:w="14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b w:val="1"/>
                <w:bCs w:val="1"/>
                <w:color w:val="auto"/>
              </w:rPr>
              <w:t>851</w:t>
            </w:r>
          </w:p>
        </w:tc>
        <w:tc>
          <w:tcPr>
            <w:tcW w:w="2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8"/>
                <w:szCs w:val="8"/>
                <w:b w:val="1"/>
                <w:bCs w:val="1"/>
                <w:color w:val="auto"/>
              </w:rPr>
              <w:t>(851)</w:t>
            </w:r>
          </w:p>
        </w:tc>
        <w:tc>
          <w:tcPr>
            <w:tcW w:w="4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46"/>
        </w:trPr>
        <w:tc>
          <w:tcPr>
            <w:tcW w:w="14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Shares into Class A Ordinary Shares</w:t>
            </w:r>
          </w:p>
        </w:tc>
        <w:tc>
          <w:tcPr>
            <w:tcW w:w="560" w:type="dxa"/>
            <w:vAlign w:val="bottom"/>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60" w:type="dxa"/>
            <w:vAlign w:val="bottom"/>
            <w:vMerge w:val="continue"/>
            <w:shd w:val="clear" w:color="auto" w:fill="CCEEFF"/>
          </w:tcPr>
          <w:p>
            <w:pPr>
              <w:spacing w:after="0"/>
              <w:rPr>
                <w:sz w:val="4"/>
                <w:szCs w:val="4"/>
                <w:color w:val="auto"/>
              </w:rPr>
            </w:pPr>
          </w:p>
        </w:tc>
        <w:tc>
          <w:tcPr>
            <w:tcW w:w="540" w:type="dxa"/>
            <w:vAlign w:val="bottom"/>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00" w:type="dxa"/>
            <w:vAlign w:val="bottom"/>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00" w:type="dxa"/>
            <w:vAlign w:val="bottom"/>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960" w:type="dxa"/>
            <w:vAlign w:val="bottom"/>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960" w:type="dxa"/>
            <w:vAlign w:val="bottom"/>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7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1480" w:type="dxa"/>
            <w:vAlign w:val="bottom"/>
            <w:tcBorders>
              <w:bottom w:val="single" w:sz="8" w:color="CCEEFF"/>
            </w:tcBorders>
            <w:vMerge w:val="continue"/>
            <w:shd w:val="clear" w:color="auto" w:fill="CCEEFF"/>
          </w:tcPr>
          <w:p>
            <w:pPr>
              <w:spacing w:after="0"/>
              <w:rPr>
                <w:sz w:val="4"/>
                <w:szCs w:val="4"/>
                <w:color w:val="auto"/>
              </w:rPr>
            </w:pPr>
          </w:p>
        </w:tc>
        <w:tc>
          <w:tcPr>
            <w:tcW w:w="5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460" w:type="dxa"/>
            <w:vAlign w:val="bottom"/>
            <w:tcBorders>
              <w:bottom w:val="single" w:sz="8" w:color="CCEEFF"/>
            </w:tcBorders>
            <w:shd w:val="clear" w:color="auto" w:fill="CCEEFF"/>
          </w:tcPr>
          <w:p>
            <w:pPr>
              <w:spacing w:after="0"/>
              <w:rPr>
                <w:sz w:val="4"/>
                <w:szCs w:val="4"/>
                <w:color w:val="auto"/>
              </w:rPr>
            </w:pPr>
          </w:p>
        </w:tc>
        <w:tc>
          <w:tcPr>
            <w:tcW w:w="54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4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40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1480" w:type="dxa"/>
            <w:vAlign w:val="bottom"/>
          </w:tcPr>
          <w:p>
            <w:pPr>
              <w:ind w:left="20"/>
              <w:spacing w:after="0"/>
              <w:rPr>
                <w:sz w:val="20"/>
                <w:szCs w:val="20"/>
                <w:color w:val="auto"/>
              </w:rPr>
            </w:pPr>
            <w:r>
              <w:rPr>
                <w:rFonts w:ascii="Times New Roman" w:cs="Times New Roman" w:eastAsia="Times New Roman" w:hAnsi="Times New Roman"/>
                <w:sz w:val="8"/>
                <w:szCs w:val="8"/>
                <w:color w:val="auto"/>
              </w:rPr>
              <w:t>Options exercised and converted under the</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restart"/>
          </w:tcPr>
          <w:p>
            <w:pPr>
              <w:jc w:val="right"/>
              <w:ind w:right="21"/>
              <w:spacing w:after="0"/>
              <w:rPr>
                <w:sz w:val="20"/>
                <w:szCs w:val="20"/>
                <w:color w:val="auto"/>
              </w:rPr>
            </w:pPr>
            <w:r>
              <w:rPr>
                <w:rFonts w:ascii="Times New Roman" w:cs="Times New Roman" w:eastAsia="Times New Roman" w:hAnsi="Times New Roman"/>
                <w:sz w:val="8"/>
                <w:szCs w:val="8"/>
                <w:b w:val="1"/>
                <w:bCs w:val="1"/>
                <w:color w:val="auto"/>
              </w:rPr>
              <w:t>129</w:t>
            </w:r>
          </w:p>
        </w:tc>
        <w:tc>
          <w:tcPr>
            <w:tcW w:w="200" w:type="dxa"/>
            <w:vAlign w:val="bottom"/>
          </w:tcPr>
          <w:p>
            <w:pPr>
              <w:spacing w:after="0"/>
              <w:rPr>
                <w:sz w:val="9"/>
                <w:szCs w:val="9"/>
                <w:color w:val="auto"/>
              </w:rPr>
            </w:pP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8"/>
                <w:szCs w:val="8"/>
                <w:b w:val="1"/>
                <w:bCs w:val="1"/>
                <w:color w:val="auto"/>
              </w:rPr>
              <w:t>(9)</w:t>
            </w:r>
          </w:p>
        </w:tc>
        <w:tc>
          <w:tcPr>
            <w:tcW w:w="400" w:type="dxa"/>
            <w:vAlign w:val="bottom"/>
          </w:tcPr>
          <w:p>
            <w:pPr>
              <w:spacing w:after="0"/>
              <w:rPr>
                <w:sz w:val="9"/>
                <w:szCs w:val="9"/>
                <w:color w:val="auto"/>
              </w:rPr>
            </w:pPr>
          </w:p>
        </w:tc>
        <w:tc>
          <w:tcPr>
            <w:tcW w:w="740" w:type="dxa"/>
            <w:vAlign w:val="bottom"/>
            <w:vMerge w:val="restart"/>
          </w:tcPr>
          <w:p>
            <w:pPr>
              <w:jc w:val="right"/>
              <w:ind w:right="1"/>
              <w:spacing w:after="0"/>
              <w:rPr>
                <w:sz w:val="20"/>
                <w:szCs w:val="20"/>
                <w:color w:val="auto"/>
              </w:rPr>
            </w:pPr>
            <w:r>
              <w:rPr>
                <w:rFonts w:ascii="Times New Roman" w:cs="Times New Roman" w:eastAsia="Times New Roman" w:hAnsi="Times New Roman"/>
                <w:sz w:val="8"/>
                <w:szCs w:val="8"/>
                <w:b w:val="1"/>
                <w:bCs w:val="1"/>
                <w:color w:val="auto"/>
              </w:rPr>
              <w:t>120</w:t>
            </w:r>
          </w:p>
        </w:tc>
        <w:tc>
          <w:tcPr>
            <w:tcW w:w="0" w:type="dxa"/>
            <w:vAlign w:val="bottom"/>
          </w:tcPr>
          <w:p>
            <w:pPr>
              <w:spacing w:after="0"/>
              <w:rPr>
                <w:sz w:val="1"/>
                <w:szCs w:val="1"/>
                <w:color w:val="auto"/>
              </w:rPr>
            </w:pPr>
          </w:p>
        </w:tc>
      </w:tr>
      <w:tr>
        <w:trPr>
          <w:trHeight w:val="95"/>
        </w:trPr>
        <w:tc>
          <w:tcPr>
            <w:tcW w:w="1480" w:type="dxa"/>
            <w:vAlign w:val="bottom"/>
          </w:tcPr>
          <w:p>
            <w:pPr>
              <w:ind w:left="20"/>
              <w:spacing w:after="0"/>
              <w:rPr>
                <w:sz w:val="20"/>
                <w:szCs w:val="20"/>
                <w:color w:val="auto"/>
              </w:rPr>
            </w:pPr>
            <w:r>
              <w:rPr>
                <w:rFonts w:ascii="Times New Roman" w:cs="Times New Roman" w:eastAsia="Times New Roman" w:hAnsi="Times New Roman"/>
                <w:sz w:val="8"/>
                <w:szCs w:val="8"/>
                <w:color w:val="auto"/>
              </w:rPr>
              <w:t>Employee Stock Option Plan, net of stamp</w:t>
            </w:r>
          </w:p>
        </w:tc>
        <w:tc>
          <w:tcPr>
            <w:tcW w:w="56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rPr>
              <w:t>93,347</w:t>
            </w:r>
          </w:p>
        </w:tc>
        <w:tc>
          <w:tcPr>
            <w:tcW w:w="160" w:type="dxa"/>
            <w:vAlign w:val="bottom"/>
          </w:tcPr>
          <w:p>
            <w:pPr>
              <w:spacing w:after="0"/>
              <w:rPr>
                <w:sz w:val="8"/>
                <w:szCs w:val="8"/>
                <w:color w:val="auto"/>
              </w:rPr>
            </w:pPr>
          </w:p>
        </w:tc>
        <w:tc>
          <w:tcPr>
            <w:tcW w:w="460" w:type="dxa"/>
            <w:vAlign w:val="bottom"/>
          </w:tcPr>
          <w:p>
            <w:pPr>
              <w:jc w:val="right"/>
              <w:ind w:right="81"/>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8"/>
                <w:szCs w:val="8"/>
                <w:color w:val="auto"/>
              </w:rPr>
              <w:t>—</w:t>
            </w:r>
          </w:p>
        </w:tc>
        <w:tc>
          <w:tcPr>
            <w:tcW w:w="180" w:type="dxa"/>
            <w:vAlign w:val="bottom"/>
          </w:tcPr>
          <w:p>
            <w:pPr>
              <w:spacing w:after="0"/>
              <w:rPr>
                <w:sz w:val="8"/>
                <w:szCs w:val="8"/>
                <w:color w:val="auto"/>
              </w:rPr>
            </w:pPr>
          </w:p>
        </w:tc>
        <w:tc>
          <w:tcPr>
            <w:tcW w:w="400" w:type="dxa"/>
            <w:vAlign w:val="bottom"/>
          </w:tcPr>
          <w:p>
            <w:pPr>
              <w:ind w:left="2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8"/>
                <w:szCs w:val="8"/>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8"/>
                <w:szCs w:val="8"/>
                <w:color w:val="auto"/>
              </w:rPr>
              <w:t>129</w:t>
            </w:r>
          </w:p>
        </w:tc>
        <w:tc>
          <w:tcPr>
            <w:tcW w:w="260" w:type="dxa"/>
            <w:vAlign w:val="bottom"/>
          </w:tcPr>
          <w:p>
            <w:pPr>
              <w:spacing w:after="0"/>
              <w:rPr>
                <w:sz w:val="8"/>
                <w:szCs w:val="8"/>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8"/>
                <w:szCs w:val="8"/>
                <w:color w:val="auto"/>
              </w:rPr>
            </w:pP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80" w:type="dxa"/>
            <w:vAlign w:val="bottom"/>
          </w:tcPr>
          <w:p>
            <w:pPr>
              <w:ind w:left="20"/>
              <w:spacing w:after="0"/>
              <w:rPr>
                <w:sz w:val="20"/>
                <w:szCs w:val="20"/>
                <w:color w:val="auto"/>
              </w:rPr>
            </w:pPr>
            <w:r>
              <w:rPr>
                <w:rFonts w:ascii="Times New Roman" w:cs="Times New Roman" w:eastAsia="Times New Roman" w:hAnsi="Times New Roman"/>
                <w:sz w:val="8"/>
                <w:szCs w:val="8"/>
                <w:color w:val="auto"/>
              </w:rPr>
              <w:t>duty fee</w:t>
            </w: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Issuance of Restricted Stock Awards under</w:t>
            </w: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b w:val="1"/>
                <w:bCs w:val="1"/>
                <w:color w:val="auto"/>
              </w:rPr>
              <w:t>—</w:t>
            </w:r>
          </w:p>
        </w:tc>
        <w:tc>
          <w:tcPr>
            <w:tcW w:w="2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b w:val="1"/>
                <w:bCs w:val="1"/>
                <w:color w:val="auto"/>
              </w:rPr>
              <w:t>—</w:t>
            </w:r>
          </w:p>
        </w:tc>
        <w:tc>
          <w:tcPr>
            <w:tcW w:w="4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95"/>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the MoonLake Immunotherapeutics 2022</w:t>
            </w:r>
          </w:p>
        </w:tc>
        <w:tc>
          <w:tcPr>
            <w:tcW w:w="5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191,526</w:t>
            </w: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color w:val="auto"/>
              </w:rPr>
              <w:t>—</w:t>
            </w: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8"/>
                <w:szCs w:val="8"/>
                <w:color w:val="auto"/>
              </w:rPr>
            </w:pP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shd w:val="clear" w:color="auto" w:fill="CCEEFF"/>
          </w:tcPr>
          <w:p>
            <w:pPr>
              <w:spacing w:after="0"/>
              <w:rPr>
                <w:sz w:val="8"/>
                <w:szCs w:val="8"/>
                <w:color w:val="auto"/>
              </w:rPr>
            </w:pP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8"/>
                <w:szCs w:val="8"/>
                <w:color w:val="auto"/>
              </w:rPr>
            </w:pPr>
          </w:p>
        </w:tc>
        <w:tc>
          <w:tcPr>
            <w:tcW w:w="9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Equity Incentive Plan</w:t>
            </w:r>
          </w:p>
        </w:tc>
        <w:tc>
          <w:tcPr>
            <w:tcW w:w="56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46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4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96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960" w:type="dxa"/>
            <w:vAlign w:val="bottom"/>
            <w:tcBorders>
              <w:bottom w:val="single" w:sz="8" w:color="CCEEFF"/>
            </w:tcBorders>
            <w:shd w:val="clear" w:color="auto" w:fill="CCEEFF"/>
          </w:tcPr>
          <w:p>
            <w:pPr>
              <w:spacing w:after="0"/>
              <w:rPr>
                <w:sz w:val="9"/>
                <w:szCs w:val="9"/>
                <w:color w:val="auto"/>
              </w:rPr>
            </w:pPr>
          </w:p>
        </w:tc>
        <w:tc>
          <w:tcPr>
            <w:tcW w:w="40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80" w:type="dxa"/>
            <w:vAlign w:val="bottom"/>
          </w:tcPr>
          <w:p>
            <w:pPr>
              <w:ind w:left="20"/>
              <w:spacing w:after="0"/>
              <w:rPr>
                <w:sz w:val="20"/>
                <w:szCs w:val="20"/>
                <w:color w:val="auto"/>
              </w:rPr>
            </w:pPr>
            <w:r>
              <w:rPr>
                <w:rFonts w:ascii="Times New Roman" w:cs="Times New Roman" w:eastAsia="Times New Roman" w:hAnsi="Times New Roman"/>
                <w:sz w:val="8"/>
                <w:szCs w:val="8"/>
                <w:color w:val="auto"/>
              </w:rPr>
              <w:t>Net loss for the three months ended March</w:t>
            </w:r>
          </w:p>
        </w:tc>
        <w:tc>
          <w:tcPr>
            <w:tcW w:w="560" w:type="dxa"/>
            <w:vAlign w:val="bottom"/>
            <w:vMerge w:val="restart"/>
          </w:tcPr>
          <w:p>
            <w:pPr>
              <w:jc w:val="right"/>
              <w:ind w:right="41"/>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460" w:type="dxa"/>
            <w:vAlign w:val="bottom"/>
            <w:vMerge w:val="restart"/>
          </w:tcPr>
          <w:p>
            <w:pPr>
              <w:jc w:val="right"/>
              <w:ind w:right="81"/>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vMerge w:val="restart"/>
          </w:tcPr>
          <w:p>
            <w:pPr>
              <w:jc w:val="right"/>
              <w:ind w:right="21"/>
              <w:spacing w:after="0"/>
              <w:rPr>
                <w:sz w:val="20"/>
                <w:szCs w:val="20"/>
                <w:color w:val="auto"/>
              </w:rPr>
            </w:pPr>
            <w:r>
              <w:rPr>
                <w:rFonts w:ascii="Times New Roman" w:cs="Times New Roman" w:eastAsia="Times New Roman" w:hAnsi="Times New Roman"/>
                <w:sz w:val="8"/>
                <w:szCs w:val="8"/>
                <w:color w:val="auto"/>
              </w:rPr>
              <w:t>—</w:t>
            </w:r>
          </w:p>
        </w:tc>
        <w:tc>
          <w:tcPr>
            <w:tcW w:w="180" w:type="dxa"/>
            <w:vAlign w:val="bottom"/>
          </w:tcPr>
          <w:p>
            <w:pPr>
              <w:spacing w:after="0"/>
              <w:rPr>
                <w:sz w:val="9"/>
                <w:szCs w:val="9"/>
                <w:color w:val="auto"/>
              </w:rPr>
            </w:pP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1000" w:type="dxa"/>
            <w:vAlign w:val="bottom"/>
            <w:vMerge w:val="restart"/>
          </w:tcPr>
          <w:p>
            <w:pPr>
              <w:jc w:val="right"/>
              <w:ind w:right="21"/>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9"/>
                <w:szCs w:val="9"/>
                <w:color w:val="auto"/>
              </w:rPr>
            </w:pPr>
          </w:p>
        </w:tc>
        <w:tc>
          <w:tcPr>
            <w:tcW w:w="900" w:type="dxa"/>
            <w:vAlign w:val="bottom"/>
            <w:vMerge w:val="restart"/>
          </w:tcPr>
          <w:p>
            <w:pPr>
              <w:jc w:val="right"/>
              <w:ind w:right="21"/>
              <w:spacing w:after="0"/>
              <w:rPr>
                <w:sz w:val="20"/>
                <w:szCs w:val="20"/>
                <w:color w:val="auto"/>
              </w:rPr>
            </w:pPr>
            <w:r>
              <w:rPr>
                <w:rFonts w:ascii="Times New Roman" w:cs="Times New Roman" w:eastAsia="Times New Roman" w:hAnsi="Times New Roman"/>
                <w:sz w:val="8"/>
                <w:szCs w:val="8"/>
                <w:color w:val="auto"/>
              </w:rPr>
              <w:t>(39,944)</w:t>
            </w:r>
          </w:p>
        </w:tc>
        <w:tc>
          <w:tcPr>
            <w:tcW w:w="200" w:type="dxa"/>
            <w:vAlign w:val="bottom"/>
          </w:tcPr>
          <w:p>
            <w:pPr>
              <w:spacing w:after="0"/>
              <w:rPr>
                <w:sz w:val="9"/>
                <w:szCs w:val="9"/>
                <w:color w:val="auto"/>
              </w:rPr>
            </w:pPr>
          </w:p>
        </w:tc>
        <w:tc>
          <w:tcPr>
            <w:tcW w:w="960" w:type="dxa"/>
            <w:vAlign w:val="bottom"/>
            <w:vMerge w:val="restart"/>
          </w:tcPr>
          <w:p>
            <w:pPr>
              <w:jc w:val="right"/>
              <w:ind w:right="41"/>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9"/>
                <w:szCs w:val="9"/>
                <w:color w:val="auto"/>
              </w:rPr>
            </w:pPr>
          </w:p>
        </w:tc>
        <w:tc>
          <w:tcPr>
            <w:tcW w:w="1000" w:type="dxa"/>
            <w:vAlign w:val="bottom"/>
            <w:vMerge w:val="restart"/>
          </w:tcPr>
          <w:p>
            <w:pPr>
              <w:jc w:val="right"/>
              <w:ind w:right="1"/>
              <w:spacing w:after="0"/>
              <w:rPr>
                <w:sz w:val="20"/>
                <w:szCs w:val="20"/>
                <w:color w:val="auto"/>
              </w:rPr>
            </w:pPr>
            <w:r>
              <w:rPr>
                <w:rFonts w:ascii="Times New Roman" w:cs="Times New Roman" w:eastAsia="Times New Roman" w:hAnsi="Times New Roman"/>
                <w:sz w:val="8"/>
                <w:szCs w:val="8"/>
                <w:b w:val="1"/>
                <w:bCs w:val="1"/>
                <w:color w:val="auto"/>
              </w:rPr>
              <w:t>(39,944)</w:t>
            </w:r>
          </w:p>
        </w:tc>
        <w:tc>
          <w:tcPr>
            <w:tcW w:w="200" w:type="dxa"/>
            <w:vAlign w:val="bottom"/>
          </w:tcPr>
          <w:p>
            <w:pPr>
              <w:spacing w:after="0"/>
              <w:rPr>
                <w:sz w:val="9"/>
                <w:szCs w:val="9"/>
                <w:color w:val="auto"/>
              </w:rPr>
            </w:pP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8"/>
                <w:szCs w:val="8"/>
                <w:b w:val="1"/>
                <w:bCs w:val="1"/>
                <w:color w:val="auto"/>
              </w:rPr>
              <w:t>(615)</w:t>
            </w:r>
          </w:p>
        </w:tc>
        <w:tc>
          <w:tcPr>
            <w:tcW w:w="4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(40,559)</w:t>
            </w:r>
          </w:p>
        </w:tc>
        <w:tc>
          <w:tcPr>
            <w:tcW w:w="0" w:type="dxa"/>
            <w:vAlign w:val="bottom"/>
          </w:tcPr>
          <w:p>
            <w:pPr>
              <w:spacing w:after="0"/>
              <w:rPr>
                <w:sz w:val="1"/>
                <w:szCs w:val="1"/>
                <w:color w:val="auto"/>
              </w:rPr>
            </w:pPr>
          </w:p>
        </w:tc>
      </w:tr>
      <w:tr>
        <w:trPr>
          <w:trHeight w:val="46"/>
        </w:trPr>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31, 2025</w:t>
            </w:r>
          </w:p>
        </w:tc>
        <w:tc>
          <w:tcPr>
            <w:tcW w:w="5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14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Other comprehensive loss</w:t>
            </w:r>
          </w:p>
        </w:tc>
        <w:tc>
          <w:tcPr>
            <w:tcW w:w="5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color w:val="auto"/>
              </w:rPr>
              <w:t>(2,620)</w:t>
            </w:r>
          </w:p>
        </w:tc>
        <w:tc>
          <w:tcPr>
            <w:tcW w:w="14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b w:val="1"/>
                <w:bCs w:val="1"/>
                <w:color w:val="auto"/>
              </w:rPr>
              <w:t>(2,620)</w:t>
            </w:r>
          </w:p>
        </w:tc>
        <w:tc>
          <w:tcPr>
            <w:tcW w:w="2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b w:val="1"/>
                <w:bCs w:val="1"/>
                <w:color w:val="auto"/>
              </w:rPr>
              <w:t>(41)</w:t>
            </w:r>
          </w:p>
        </w:tc>
        <w:tc>
          <w:tcPr>
            <w:tcW w:w="4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(2,661)</w:t>
            </w:r>
          </w:p>
        </w:tc>
        <w:tc>
          <w:tcPr>
            <w:tcW w:w="0" w:type="dxa"/>
            <w:vAlign w:val="bottom"/>
          </w:tcPr>
          <w:p>
            <w:pPr>
              <w:spacing w:after="0"/>
              <w:rPr>
                <w:sz w:val="1"/>
                <w:szCs w:val="1"/>
                <w:color w:val="auto"/>
              </w:rPr>
            </w:pPr>
          </w:p>
        </w:tc>
      </w:tr>
      <w:tr>
        <w:trPr>
          <w:trHeight w:val="108"/>
        </w:trPr>
        <w:tc>
          <w:tcPr>
            <w:tcW w:w="1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8"/>
                <w:szCs w:val="8"/>
                <w:b w:val="1"/>
                <w:bCs w:val="1"/>
                <w:color w:val="auto"/>
              </w:rPr>
              <w:t>Balance at March 31, 2025</w:t>
            </w:r>
          </w:p>
        </w:tc>
        <w:tc>
          <w:tcPr>
            <w:tcW w:w="56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8"/>
                <w:szCs w:val="8"/>
                <w:b w:val="1"/>
                <w:bCs w:val="1"/>
                <w:color w:val="auto"/>
              </w:rPr>
              <w:t>63,474,253</w:t>
            </w:r>
          </w:p>
        </w:tc>
        <w:tc>
          <w:tcPr>
            <w:tcW w:w="16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8"/>
                <w:szCs w:val="8"/>
                <w:b w:val="1"/>
                <w:bCs w:val="1"/>
                <w:color w:val="auto"/>
              </w:rPr>
              <w:t>$</w:t>
            </w:r>
          </w:p>
        </w:tc>
        <w:tc>
          <w:tcPr>
            <w:tcW w:w="46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8"/>
                <w:szCs w:val="8"/>
                <w:b w:val="1"/>
                <w:bCs w:val="1"/>
                <w:color w:val="auto"/>
              </w:rPr>
              <w:t>6</w:t>
            </w:r>
          </w:p>
        </w:tc>
        <w:tc>
          <w:tcPr>
            <w:tcW w:w="5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8"/>
                <w:szCs w:val="8"/>
                <w:b w:val="1"/>
                <w:bCs w:val="1"/>
                <w:color w:val="auto"/>
              </w:rPr>
              <w:t>729,320</w:t>
            </w:r>
          </w:p>
        </w:tc>
        <w:tc>
          <w:tcPr>
            <w:tcW w:w="18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8"/>
                <w:szCs w:val="8"/>
                <w:b w:val="1"/>
                <w:bCs w:val="1"/>
                <w:color w:val="auto"/>
              </w:rPr>
              <w:t>$</w:t>
            </w:r>
          </w:p>
        </w:tc>
        <w:tc>
          <w:tcPr>
            <w:tcW w:w="4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8"/>
                <w:szCs w:val="8"/>
                <w:b w:val="1"/>
                <w:bCs w:val="1"/>
                <w:color w:val="auto"/>
              </w:rPr>
              <w:t>—</w:t>
            </w:r>
          </w:p>
        </w:tc>
        <w:tc>
          <w:tcPr>
            <w:tcW w:w="16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8"/>
                <w:szCs w:val="8"/>
                <w:b w:val="1"/>
                <w:bCs w:val="1"/>
                <w:color w:val="auto"/>
              </w:rPr>
              <w:t>$</w:t>
            </w:r>
          </w:p>
        </w:tc>
        <w:tc>
          <w:tcPr>
            <w:tcW w:w="10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8"/>
                <w:szCs w:val="8"/>
                <w:b w:val="1"/>
                <w:bCs w:val="1"/>
                <w:color w:val="auto"/>
              </w:rPr>
              <w:t>680,664</w:t>
            </w:r>
          </w:p>
        </w:tc>
        <w:tc>
          <w:tcPr>
            <w:tcW w:w="26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8"/>
                <w:szCs w:val="8"/>
                <w:b w:val="1"/>
                <w:bCs w:val="1"/>
                <w:color w:val="auto"/>
              </w:rPr>
              <w:t>$</w:t>
            </w:r>
          </w:p>
        </w:tc>
        <w:tc>
          <w:tcPr>
            <w:tcW w:w="9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8"/>
                <w:szCs w:val="8"/>
                <w:b w:val="1"/>
                <w:bCs w:val="1"/>
                <w:color w:val="auto"/>
              </w:rPr>
              <w:t>(275,537)</w:t>
            </w:r>
          </w:p>
        </w:tc>
        <w:tc>
          <w:tcPr>
            <w:tcW w:w="20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8"/>
                <w:szCs w:val="8"/>
                <w:b w:val="1"/>
                <w:bCs w:val="1"/>
                <w:color w:val="auto"/>
              </w:rPr>
              <w:t>$</w:t>
            </w:r>
          </w:p>
        </w:tc>
        <w:tc>
          <w:tcPr>
            <w:tcW w:w="96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8"/>
                <w:szCs w:val="8"/>
                <w:b w:val="1"/>
                <w:bCs w:val="1"/>
                <w:color w:val="auto"/>
              </w:rPr>
              <w:t>2,387</w:t>
            </w:r>
          </w:p>
        </w:tc>
        <w:tc>
          <w:tcPr>
            <w:tcW w:w="1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8"/>
                <w:szCs w:val="8"/>
                <w:b w:val="1"/>
                <w:bCs w:val="1"/>
                <w:color w:val="auto"/>
              </w:rPr>
              <w:t>$</w:t>
            </w:r>
          </w:p>
        </w:tc>
        <w:tc>
          <w:tcPr>
            <w:tcW w:w="10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8"/>
                <w:szCs w:val="8"/>
                <w:b w:val="1"/>
                <w:bCs w:val="1"/>
                <w:color w:val="auto"/>
              </w:rPr>
              <w:t>407,520</w:t>
            </w:r>
          </w:p>
        </w:tc>
        <w:tc>
          <w:tcPr>
            <w:tcW w:w="20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8"/>
                <w:szCs w:val="8"/>
                <w:b w:val="1"/>
                <w:bCs w:val="1"/>
                <w:color w:val="auto"/>
              </w:rPr>
              <w:t>$</w:t>
            </w:r>
          </w:p>
        </w:tc>
        <w:tc>
          <w:tcPr>
            <w:tcW w:w="9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8"/>
                <w:szCs w:val="8"/>
                <w:b w:val="1"/>
                <w:bCs w:val="1"/>
                <w:color w:val="auto"/>
              </w:rPr>
              <w:t>5,061</w:t>
            </w:r>
          </w:p>
        </w:tc>
        <w:tc>
          <w:tcPr>
            <w:tcW w:w="400" w:type="dxa"/>
            <w:vAlign w:val="bottom"/>
            <w:tcBorders>
              <w:top w:val="single" w:sz="8" w:color="auto"/>
            </w:tcBorders>
          </w:tcPr>
          <w:p>
            <w:pPr>
              <w:jc w:val="right"/>
              <w:ind w:right="281"/>
              <w:spacing w:after="0"/>
              <w:rPr>
                <w:sz w:val="20"/>
                <w:szCs w:val="20"/>
                <w:color w:val="auto"/>
              </w:rPr>
            </w:pPr>
            <w:r>
              <w:rPr>
                <w:rFonts w:ascii="Times New Roman" w:cs="Times New Roman" w:eastAsia="Times New Roman" w:hAnsi="Times New Roman"/>
                <w:sz w:val="8"/>
                <w:szCs w:val="8"/>
                <w:b w:val="1"/>
                <w:bCs w:val="1"/>
                <w:color w:val="auto"/>
              </w:rPr>
              <w:t>$</w:t>
            </w:r>
          </w:p>
        </w:tc>
        <w:tc>
          <w:tcPr>
            <w:tcW w:w="7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8"/>
                <w:szCs w:val="8"/>
                <w:b w:val="1"/>
                <w:bCs w:val="1"/>
                <w:color w:val="auto"/>
              </w:rPr>
              <w:t>412,581</w:t>
            </w: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163830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00"/>
          </w:cols>
          <w:pgMar w:left="600" w:top="123" w:right="5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EQUITY</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20" w:type="dxa"/>
            <w:vAlign w:val="bottom"/>
          </w:tcPr>
          <w:p>
            <w:pPr>
              <w:spacing w:after="0"/>
              <w:rPr>
                <w:sz w:val="11"/>
                <w:szCs w:val="11"/>
                <w:color w:val="auto"/>
              </w:rPr>
            </w:pPr>
          </w:p>
        </w:tc>
        <w:tc>
          <w:tcPr>
            <w:tcW w:w="1540" w:type="dxa"/>
            <w:vAlign w:val="bottom"/>
            <w:gridSpan w:val="3"/>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Class A Ordinary Shares</w:t>
            </w:r>
          </w:p>
        </w:tc>
        <w:tc>
          <w:tcPr>
            <w:tcW w:w="10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Additional Paid-In Capital</w:t>
            </w:r>
          </w:p>
        </w:tc>
        <w:tc>
          <w:tcPr>
            <w:tcW w:w="24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8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0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Total Shareholders' Equity</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Comprehensive Income</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 except share data)</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January 1, 2026</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71,373,579</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766,781</w:t>
            </w: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(462,911)</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304,481</w:t>
            </w:r>
          </w:p>
        </w:tc>
        <w:tc>
          <w:tcPr>
            <w:tcW w:w="0" w:type="dxa"/>
            <w:vAlign w:val="bottom"/>
          </w:tcPr>
          <w:p>
            <w:pPr>
              <w:spacing w:after="0"/>
              <w:rPr>
                <w:sz w:val="1"/>
                <w:szCs w:val="1"/>
                <w:color w:val="auto"/>
              </w:rPr>
            </w:pPr>
          </w:p>
        </w:tc>
      </w:tr>
      <w:tr>
        <w:trPr>
          <w:trHeight w:val="152"/>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Share-based compensation under the Employee Share</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13,355</w:t>
            </w:r>
          </w:p>
        </w:tc>
        <w:tc>
          <w:tcPr>
            <w:tcW w:w="0" w:type="dxa"/>
            <w:vAlign w:val="bottom"/>
          </w:tcPr>
          <w:p>
            <w:pPr>
              <w:spacing w:after="0"/>
              <w:rPr>
                <w:sz w:val="1"/>
                <w:szCs w:val="1"/>
                <w:color w:val="auto"/>
              </w:rPr>
            </w:pPr>
          </w:p>
        </w:tc>
      </w:tr>
      <w:tr>
        <w:trPr>
          <w:trHeight w:val="138"/>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Participation Plan and MoonLake Immunotherapeutics 2022</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5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13,355</w:t>
            </w:r>
          </w:p>
        </w:tc>
        <w:tc>
          <w:tcPr>
            <w:tcW w:w="240" w:type="dxa"/>
            <w:vAlign w:val="bottom"/>
          </w:tcPr>
          <w:p>
            <w:pPr>
              <w:spacing w:after="0"/>
              <w:rPr>
                <w:sz w:val="11"/>
                <w:szCs w:val="11"/>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Incentive Plan</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Restricted Stock Awards under the MoonLake</w:t>
            </w:r>
          </w:p>
        </w:tc>
        <w:tc>
          <w:tcPr>
            <w:tcW w:w="7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354,296</w:t>
            </w:r>
          </w:p>
        </w:tc>
        <w:tc>
          <w:tcPr>
            <w:tcW w:w="2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83"/>
        </w:trPr>
        <w:tc>
          <w:tcPr>
            <w:tcW w:w="29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Immunotherapeutics 2022 Equity Incentive Plan</w:t>
            </w:r>
          </w:p>
        </w:tc>
        <w:tc>
          <w:tcPr>
            <w:tcW w:w="76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4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920" w:type="dxa"/>
            <w:vAlign w:val="bottom"/>
            <w:tcBorders>
              <w:bottom w:val="single" w:sz="8" w:color="CCEEFF"/>
            </w:tcBorders>
            <w:vMerge w:val="continue"/>
            <w:shd w:val="clear" w:color="auto" w:fill="CCEEFF"/>
          </w:tcPr>
          <w:p>
            <w:pPr>
              <w:spacing w:after="0"/>
              <w:rPr>
                <w:sz w:val="6"/>
                <w:szCs w:val="6"/>
                <w:color w:val="auto"/>
              </w:rPr>
            </w:pPr>
          </w:p>
        </w:tc>
        <w:tc>
          <w:tcPr>
            <w:tcW w:w="760" w:type="dxa"/>
            <w:vAlign w:val="bottom"/>
            <w:tcBorders>
              <w:bottom w:val="single" w:sz="8" w:color="CCEEFF"/>
            </w:tcBorders>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34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120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12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34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Options exercised under the MoonLake Immunotherapeutics</w:t>
            </w:r>
          </w:p>
        </w:tc>
        <w:tc>
          <w:tcPr>
            <w:tcW w:w="7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69,632</w:t>
            </w:r>
          </w:p>
        </w:tc>
        <w:tc>
          <w:tcPr>
            <w:tcW w:w="220" w:type="dxa"/>
            <w:vAlign w:val="bottom"/>
          </w:tcPr>
          <w:p>
            <w:pPr>
              <w:spacing w:after="0"/>
              <w:rPr>
                <w:sz w:val="13"/>
                <w:szCs w:val="13"/>
                <w:color w:val="auto"/>
              </w:rPr>
            </w:pPr>
          </w:p>
        </w:tc>
        <w:tc>
          <w:tcPr>
            <w:tcW w:w="56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3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170</w:t>
            </w:r>
          </w:p>
        </w:tc>
        <w:tc>
          <w:tcPr>
            <w:tcW w:w="240" w:type="dxa"/>
            <w:vAlign w:val="bottom"/>
          </w:tcPr>
          <w:p>
            <w:pPr>
              <w:spacing w:after="0"/>
              <w:rPr>
                <w:sz w:val="13"/>
                <w:szCs w:val="13"/>
                <w:color w:val="auto"/>
              </w:rPr>
            </w:pPr>
          </w:p>
        </w:tc>
        <w:tc>
          <w:tcPr>
            <w:tcW w:w="12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2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3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170</w:t>
            </w:r>
          </w:p>
        </w:tc>
        <w:tc>
          <w:tcPr>
            <w:tcW w:w="0" w:type="dxa"/>
            <w:vAlign w:val="bottom"/>
          </w:tcPr>
          <w:p>
            <w:pPr>
              <w:spacing w:after="0"/>
              <w:rPr>
                <w:sz w:val="1"/>
                <w:szCs w:val="1"/>
                <w:color w:val="auto"/>
              </w:rPr>
            </w:pPr>
          </w:p>
        </w:tc>
      </w:tr>
      <w:tr>
        <w:trPr>
          <w:trHeight w:val="83"/>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2022 Equity Incentive Plan</w:t>
            </w:r>
          </w:p>
        </w:tc>
        <w:tc>
          <w:tcPr>
            <w:tcW w:w="7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9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Class A Ordinary Shares, net of transaction costs</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336,559</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6,007</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6,007</w:t>
            </w:r>
          </w:p>
        </w:tc>
        <w:tc>
          <w:tcPr>
            <w:tcW w:w="0" w:type="dxa"/>
            <w:vAlign w:val="bottom"/>
          </w:tcPr>
          <w:p>
            <w:pPr>
              <w:spacing w:after="0"/>
              <w:rPr>
                <w:sz w:val="1"/>
                <w:szCs w:val="1"/>
                <w:color w:val="auto"/>
              </w:rPr>
            </w:pPr>
          </w:p>
        </w:tc>
      </w:tr>
      <w:tr>
        <w:trPr>
          <w:trHeight w:val="171"/>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 for the three months ended March 31, 2026</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5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(69,707)</w:t>
            </w:r>
          </w:p>
        </w:tc>
        <w:tc>
          <w:tcPr>
            <w:tcW w:w="180" w:type="dxa"/>
            <w:vAlign w:val="bottom"/>
          </w:tcPr>
          <w:p>
            <w:pPr>
              <w:spacing w:after="0"/>
              <w:rPr>
                <w:sz w:val="14"/>
                <w:szCs w:val="14"/>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(69,707)</w:t>
            </w:r>
          </w:p>
        </w:tc>
        <w:tc>
          <w:tcPr>
            <w:tcW w:w="0" w:type="dxa"/>
            <w:vAlign w:val="bottom"/>
          </w:tcPr>
          <w:p>
            <w:pPr>
              <w:spacing w:after="0"/>
              <w:rPr>
                <w:sz w:val="1"/>
                <w:szCs w:val="1"/>
                <w:color w:val="auto"/>
              </w:rPr>
            </w:pPr>
          </w:p>
        </w:tc>
      </w:tr>
      <w:tr>
        <w:trPr>
          <w:trHeight w:val="181"/>
        </w:trPr>
        <w:tc>
          <w:tcPr>
            <w:tcW w:w="2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w:t>
            </w: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(282)</w:t>
            </w:r>
          </w:p>
        </w:tc>
        <w:tc>
          <w:tcPr>
            <w:tcW w:w="0" w:type="dxa"/>
            <w:vAlign w:val="bottom"/>
          </w:tcPr>
          <w:p>
            <w:pPr>
              <w:spacing w:after="0"/>
              <w:rPr>
                <w:sz w:val="1"/>
                <w:szCs w:val="1"/>
                <w:color w:val="auto"/>
              </w:rPr>
            </w:pPr>
          </w:p>
        </w:tc>
      </w:tr>
      <w:tr>
        <w:trPr>
          <w:trHeight w:val="171"/>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2026</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72,134,066</w:t>
            </w: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786,313</w:t>
            </w: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(532,618)</w:t>
            </w: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1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322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254,024</w:t>
            </w:r>
          </w:p>
        </w:tc>
        <w:tc>
          <w:tcPr>
            <w:tcW w:w="0" w:type="dxa"/>
            <w:vAlign w:val="bottom"/>
          </w:tcPr>
          <w:p>
            <w:pPr>
              <w:spacing w:after="0"/>
              <w:rPr>
                <w:sz w:val="1"/>
                <w:szCs w:val="1"/>
                <w:color w:val="auto"/>
              </w:rPr>
            </w:pPr>
          </w:p>
        </w:tc>
      </w:tr>
      <w:tr>
        <w:trPr>
          <w:trHeight w:val="21"/>
        </w:trPr>
        <w:tc>
          <w:tcPr>
            <w:tcW w:w="2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163830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220"/>
          </w:cols>
          <w:pgMar w:left="840" w:top="123" w:right="8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3"/>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900" w:type="dxa"/>
            <w:vAlign w:val="bottom"/>
            <w:tcBorders>
              <w:bottom w:val="single" w:sz="8" w:color="auto"/>
            </w:tcBorders>
          </w:tcPr>
          <w:p>
            <w:pPr>
              <w:spacing w:after="0"/>
              <w:rPr>
                <w:sz w:val="13"/>
                <w:szCs w:val="13"/>
                <w:color w:val="auto"/>
              </w:rPr>
            </w:pPr>
          </w:p>
        </w:tc>
      </w:tr>
      <w:tr>
        <w:trPr>
          <w:trHeight w:val="171"/>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7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4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 from operating activities</w:t>
            </w:r>
          </w:p>
        </w:tc>
        <w:tc>
          <w:tcPr>
            <w:tcW w:w="7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71"/>
        </w:trPr>
        <w:tc>
          <w:tcPr>
            <w:tcW w:w="7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700" w:type="dxa"/>
            <w:vAlign w:val="bottom"/>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(69,707)</w:t>
            </w:r>
          </w:p>
        </w:tc>
        <w:tc>
          <w:tcPr>
            <w:tcW w:w="1220" w:type="dxa"/>
            <w:vAlign w:val="bottom"/>
            <w:gridSpan w:val="2"/>
          </w:tcPr>
          <w:p>
            <w:pPr>
              <w:jc w:val="right"/>
              <w:ind w:right="10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(40,559)</w:t>
            </w:r>
          </w:p>
        </w:tc>
      </w:tr>
      <w:tr>
        <w:trPr>
          <w:trHeight w:val="19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Adjustments to reconcile net loss to net cash used in operating activities:</w:t>
            </w:r>
          </w:p>
        </w:tc>
        <w:tc>
          <w:tcPr>
            <w:tcW w:w="7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71"/>
        </w:trPr>
        <w:tc>
          <w:tcPr>
            <w:tcW w:w="70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700" w:type="dxa"/>
            <w:vAlign w:val="bottom"/>
          </w:tcPr>
          <w:p>
            <w:pPr>
              <w:spacing w:after="0"/>
              <w:rPr>
                <w:sz w:val="14"/>
                <w:szCs w:val="14"/>
                <w:color w:val="auto"/>
              </w:rPr>
            </w:pPr>
          </w:p>
        </w:tc>
        <w:tc>
          <w:tcPr>
            <w:tcW w:w="13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845</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378</w:t>
            </w:r>
          </w:p>
        </w:tc>
      </w:tr>
      <w:tr>
        <w:trPr>
          <w:trHeight w:val="190"/>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Share-based compensation expense</w:t>
            </w:r>
          </w:p>
        </w:tc>
        <w:tc>
          <w:tcPr>
            <w:tcW w:w="7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13,355</w:t>
            </w:r>
          </w:p>
        </w:tc>
        <w:tc>
          <w:tcPr>
            <w:tcW w:w="80" w:type="dxa"/>
            <w:vAlign w:val="bottom"/>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2,290</w:t>
            </w:r>
          </w:p>
        </w:tc>
      </w:tr>
      <w:tr>
        <w:trPr>
          <w:trHeight w:val="171"/>
        </w:trPr>
        <w:tc>
          <w:tcPr>
            <w:tcW w:w="70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periodic pension benefit gain (loss) for the qualified pension plan</w:t>
            </w:r>
          </w:p>
        </w:tc>
        <w:tc>
          <w:tcPr>
            <w:tcW w:w="700" w:type="dxa"/>
            <w:vAlign w:val="bottom"/>
          </w:tcPr>
          <w:p>
            <w:pPr>
              <w:spacing w:after="0"/>
              <w:rPr>
                <w:sz w:val="14"/>
                <w:szCs w:val="14"/>
                <w:color w:val="auto"/>
              </w:rPr>
            </w:pPr>
          </w:p>
        </w:tc>
        <w:tc>
          <w:tcPr>
            <w:tcW w:w="13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(4)</w:t>
            </w:r>
          </w:p>
        </w:tc>
      </w:tr>
      <w:tr>
        <w:trPr>
          <w:trHeight w:val="190"/>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Other non-cash items</w:t>
            </w:r>
          </w:p>
        </w:tc>
        <w:tc>
          <w:tcPr>
            <w:tcW w:w="7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422</w:t>
            </w:r>
          </w:p>
        </w:tc>
        <w:tc>
          <w:tcPr>
            <w:tcW w:w="80" w:type="dxa"/>
            <w:vAlign w:val="bottom"/>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124</w:t>
            </w:r>
          </w:p>
        </w:tc>
      </w:tr>
      <w:tr>
        <w:trPr>
          <w:trHeight w:val="171"/>
        </w:trPr>
        <w:tc>
          <w:tcPr>
            <w:tcW w:w="708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rPr>
              <w:t>Changes in operating assets and liabilities:</w:t>
            </w: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0"/>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Other receivables</w:t>
            </w:r>
          </w:p>
        </w:tc>
        <w:tc>
          <w:tcPr>
            <w:tcW w:w="7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(894)</w:t>
            </w:r>
          </w:p>
        </w:tc>
        <w:tc>
          <w:tcPr>
            <w:tcW w:w="80" w:type="dxa"/>
            <w:vAlign w:val="bottom"/>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(146)</w:t>
            </w:r>
          </w:p>
        </w:tc>
      </w:tr>
      <w:tr>
        <w:trPr>
          <w:trHeight w:val="171"/>
        </w:trPr>
        <w:tc>
          <w:tcPr>
            <w:tcW w:w="70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Operating lease right-of-use assets</w:t>
            </w:r>
          </w:p>
        </w:tc>
        <w:tc>
          <w:tcPr>
            <w:tcW w:w="700" w:type="dxa"/>
            <w:vAlign w:val="bottom"/>
          </w:tcPr>
          <w:p>
            <w:pPr>
              <w:spacing w:after="0"/>
              <w:rPr>
                <w:sz w:val="14"/>
                <w:szCs w:val="14"/>
                <w:color w:val="auto"/>
              </w:rPr>
            </w:pPr>
          </w:p>
        </w:tc>
        <w:tc>
          <w:tcPr>
            <w:tcW w:w="13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r>
      <w:tr>
        <w:trPr>
          <w:trHeight w:val="190"/>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Prepaid expenses</w:t>
            </w:r>
          </w:p>
        </w:tc>
        <w:tc>
          <w:tcPr>
            <w:tcW w:w="7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(10,100)</w:t>
            </w:r>
          </w:p>
        </w:tc>
        <w:tc>
          <w:tcPr>
            <w:tcW w:w="80" w:type="dxa"/>
            <w:vAlign w:val="bottom"/>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273</w:t>
            </w:r>
          </w:p>
        </w:tc>
      </w:tr>
      <w:tr>
        <w:trPr>
          <w:trHeight w:val="171"/>
        </w:trPr>
        <w:tc>
          <w:tcPr>
            <w:tcW w:w="70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Other non-current assets</w:t>
            </w:r>
          </w:p>
        </w:tc>
        <w:tc>
          <w:tcPr>
            <w:tcW w:w="700" w:type="dxa"/>
            <w:vAlign w:val="bottom"/>
          </w:tcPr>
          <w:p>
            <w:pPr>
              <w:spacing w:after="0"/>
              <w:rPr>
                <w:sz w:val="14"/>
                <w:szCs w:val="14"/>
                <w:color w:val="auto"/>
              </w:rPr>
            </w:pPr>
          </w:p>
        </w:tc>
        <w:tc>
          <w:tcPr>
            <w:tcW w:w="13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(749)</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(1,698)</w:t>
            </w:r>
          </w:p>
        </w:tc>
      </w:tr>
      <w:tr>
        <w:trPr>
          <w:trHeight w:val="190"/>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Trade and other payables</w:t>
            </w:r>
          </w:p>
        </w:tc>
        <w:tc>
          <w:tcPr>
            <w:tcW w:w="7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(6,173)</w:t>
            </w:r>
          </w:p>
        </w:tc>
        <w:tc>
          <w:tcPr>
            <w:tcW w:w="80" w:type="dxa"/>
            <w:vAlign w:val="bottom"/>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3,013</w:t>
            </w:r>
          </w:p>
        </w:tc>
      </w:tr>
      <w:tr>
        <w:trPr>
          <w:trHeight w:val="171"/>
        </w:trPr>
        <w:tc>
          <w:tcPr>
            <w:tcW w:w="70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700" w:type="dxa"/>
            <w:vAlign w:val="bottom"/>
          </w:tcPr>
          <w:p>
            <w:pPr>
              <w:spacing w:after="0"/>
              <w:rPr>
                <w:sz w:val="14"/>
                <w:szCs w:val="14"/>
                <w:color w:val="auto"/>
              </w:rPr>
            </w:pPr>
          </w:p>
        </w:tc>
        <w:tc>
          <w:tcPr>
            <w:tcW w:w="13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(389)</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(255)</w:t>
            </w:r>
          </w:p>
        </w:tc>
      </w:tr>
      <w:tr>
        <w:trPr>
          <w:trHeight w:val="190"/>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Accrued expenses and other current liabilities</w:t>
            </w:r>
          </w:p>
        </w:tc>
        <w:tc>
          <w:tcPr>
            <w:tcW w:w="7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7,123</w:t>
            </w:r>
          </w:p>
        </w:tc>
        <w:tc>
          <w:tcPr>
            <w:tcW w:w="80" w:type="dxa"/>
            <w:vAlign w:val="bottom"/>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(1,556)</w:t>
            </w:r>
          </w:p>
        </w:tc>
      </w:tr>
      <w:tr>
        <w:trPr>
          <w:trHeight w:val="162"/>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flow used in operating activities</w:t>
            </w:r>
          </w:p>
        </w:tc>
        <w:tc>
          <w:tcPr>
            <w:tcW w:w="7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(66,286)</w:t>
            </w:r>
          </w:p>
        </w:tc>
        <w:tc>
          <w:tcPr>
            <w:tcW w:w="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(38,140)</w:t>
            </w:r>
          </w:p>
        </w:tc>
      </w:tr>
      <w:tr>
        <w:trPr>
          <w:trHeight w:val="202"/>
        </w:trPr>
        <w:tc>
          <w:tcPr>
            <w:tcW w:w="7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71"/>
        </w:trPr>
        <w:tc>
          <w:tcPr>
            <w:tcW w:w="70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 from investing activities</w:t>
            </w: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Purchase of short-term marketable debt securities</w:t>
            </w:r>
          </w:p>
        </w:tc>
        <w:tc>
          <w:tcPr>
            <w:tcW w:w="7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(59,068)</w:t>
            </w:r>
          </w:p>
        </w:tc>
        <w:tc>
          <w:tcPr>
            <w:tcW w:w="80" w:type="dxa"/>
            <w:vAlign w:val="bottom"/>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(88,548)</w:t>
            </w:r>
          </w:p>
        </w:tc>
      </w:tr>
      <w:tr>
        <w:trPr>
          <w:trHeight w:val="171"/>
        </w:trPr>
        <w:tc>
          <w:tcPr>
            <w:tcW w:w="70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Proceeds from maturities of short-term marketable debt securities</w:t>
            </w:r>
          </w:p>
        </w:tc>
        <w:tc>
          <w:tcPr>
            <w:tcW w:w="700" w:type="dxa"/>
            <w:vAlign w:val="bottom"/>
          </w:tcPr>
          <w:p>
            <w:pPr>
              <w:spacing w:after="0"/>
              <w:rPr>
                <w:sz w:val="14"/>
                <w:szCs w:val="14"/>
                <w:color w:val="auto"/>
              </w:rPr>
            </w:pPr>
          </w:p>
        </w:tc>
        <w:tc>
          <w:tcPr>
            <w:tcW w:w="13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59,166</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144,829</w:t>
            </w:r>
          </w:p>
        </w:tc>
      </w:tr>
      <w:tr>
        <w:trPr>
          <w:trHeight w:val="19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Purchase of property and equipment</w:t>
            </w:r>
          </w:p>
        </w:tc>
        <w:tc>
          <w:tcPr>
            <w:tcW w:w="7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(35)</w:t>
            </w:r>
          </w:p>
        </w:tc>
      </w:tr>
      <w:tr>
        <w:trPr>
          <w:trHeight w:val="162"/>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flow provided by investing activities</w:t>
            </w:r>
          </w:p>
        </w:tc>
        <w:tc>
          <w:tcPr>
            <w:tcW w:w="7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98</w:t>
            </w:r>
          </w:p>
        </w:tc>
        <w:tc>
          <w:tcPr>
            <w:tcW w:w="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56,246</w:t>
            </w:r>
          </w:p>
        </w:tc>
      </w:tr>
      <w:tr>
        <w:trPr>
          <w:trHeight w:val="202"/>
        </w:trPr>
        <w:tc>
          <w:tcPr>
            <w:tcW w:w="7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71"/>
        </w:trPr>
        <w:tc>
          <w:tcPr>
            <w:tcW w:w="70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 from financing activities</w:t>
            </w: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Proceeds from long-term debt, net of issuance costs</w:t>
            </w:r>
          </w:p>
        </w:tc>
        <w:tc>
          <w:tcPr>
            <w:tcW w:w="7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24,467</w:t>
            </w:r>
          </w:p>
        </w:tc>
        <w:tc>
          <w:tcPr>
            <w:tcW w:w="80" w:type="dxa"/>
            <w:vAlign w:val="bottom"/>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73,022</w:t>
            </w:r>
          </w:p>
        </w:tc>
      </w:tr>
      <w:tr>
        <w:trPr>
          <w:trHeight w:val="171"/>
        </w:trPr>
        <w:tc>
          <w:tcPr>
            <w:tcW w:w="70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Issuance of Class A Ordinary Shares, net of transaction costs</w:t>
            </w:r>
          </w:p>
        </w:tc>
        <w:tc>
          <w:tcPr>
            <w:tcW w:w="700" w:type="dxa"/>
            <w:vAlign w:val="bottom"/>
          </w:tcPr>
          <w:p>
            <w:pPr>
              <w:spacing w:after="0"/>
              <w:rPr>
                <w:sz w:val="14"/>
                <w:szCs w:val="14"/>
                <w:color w:val="auto"/>
              </w:rPr>
            </w:pPr>
          </w:p>
        </w:tc>
        <w:tc>
          <w:tcPr>
            <w:tcW w:w="13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6,007</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r>
      <w:tr>
        <w:trPr>
          <w:trHeight w:val="19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Proceeds from options exercised under the MoonLake Immunotherapeutics 2022 Equity Incentive Plan</w:t>
            </w:r>
          </w:p>
        </w:tc>
        <w:tc>
          <w:tcPr>
            <w:tcW w:w="7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170</w:t>
            </w:r>
          </w:p>
        </w:tc>
        <w:tc>
          <w:tcPr>
            <w:tcW w:w="80" w:type="dxa"/>
            <w:vAlign w:val="bottom"/>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r>
      <w:tr>
        <w:trPr>
          <w:trHeight w:val="171"/>
        </w:trPr>
        <w:tc>
          <w:tcPr>
            <w:tcW w:w="7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color w:val="auto"/>
              </w:rPr>
              <w:t>Proceeds from options exercised under Employee Stock Option Plan</w:t>
            </w:r>
          </w:p>
        </w:tc>
        <w:tc>
          <w:tcPr>
            <w:tcW w:w="7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100</w:t>
            </w:r>
          </w:p>
        </w:tc>
      </w:tr>
      <w:tr>
        <w:trPr>
          <w:trHeight w:val="17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flow provided by financing activities</w:t>
            </w:r>
          </w:p>
        </w:tc>
        <w:tc>
          <w:tcPr>
            <w:tcW w:w="7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30,644</w:t>
            </w:r>
          </w:p>
        </w:tc>
        <w:tc>
          <w:tcPr>
            <w:tcW w:w="80" w:type="dxa"/>
            <w:vAlign w:val="bottom"/>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73,122</w:t>
            </w:r>
          </w:p>
        </w:tc>
      </w:tr>
      <w:tr>
        <w:trPr>
          <w:trHeight w:val="202"/>
        </w:trPr>
        <w:tc>
          <w:tcPr>
            <w:tcW w:w="7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Effect of movements in exchange rates on cash held</w:t>
            </w:r>
          </w:p>
        </w:tc>
        <w:tc>
          <w:tcPr>
            <w:tcW w:w="7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(483)</w:t>
            </w:r>
          </w:p>
        </w:tc>
        <w:tc>
          <w:tcPr>
            <w:tcW w:w="80" w:type="dxa"/>
            <w:vAlign w:val="bottom"/>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(88)</w:t>
            </w:r>
          </w:p>
        </w:tc>
      </w:tr>
      <w:tr>
        <w:trPr>
          <w:trHeight w:val="162"/>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Net change in cash and cash equivalents</w:t>
            </w:r>
          </w:p>
        </w:tc>
        <w:tc>
          <w:tcPr>
            <w:tcW w:w="7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(36,027)</w:t>
            </w:r>
          </w:p>
        </w:tc>
        <w:tc>
          <w:tcPr>
            <w:tcW w:w="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91,140</w:t>
            </w:r>
          </w:p>
        </w:tc>
      </w:tr>
      <w:tr>
        <w:trPr>
          <w:trHeight w:val="202"/>
        </w:trPr>
        <w:tc>
          <w:tcPr>
            <w:tcW w:w="7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71"/>
        </w:trPr>
        <w:tc>
          <w:tcPr>
            <w:tcW w:w="7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 beginning of period</w:t>
            </w:r>
          </w:p>
        </w:tc>
        <w:tc>
          <w:tcPr>
            <w:tcW w:w="700" w:type="dxa"/>
            <w:vAlign w:val="bottom"/>
          </w:tcPr>
          <w:p>
            <w:pPr>
              <w:spacing w:after="0"/>
              <w:rPr>
                <w:sz w:val="14"/>
                <w:szCs w:val="14"/>
                <w:color w:val="auto"/>
              </w:rPr>
            </w:pPr>
          </w:p>
        </w:tc>
        <w:tc>
          <w:tcPr>
            <w:tcW w:w="13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334,517</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180,426</w:t>
            </w:r>
          </w:p>
        </w:tc>
      </w:tr>
      <w:tr>
        <w:trPr>
          <w:trHeight w:val="191"/>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end of period</w:t>
            </w:r>
          </w:p>
        </w:tc>
        <w:tc>
          <w:tcPr>
            <w:tcW w:w="70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298,490</w:t>
            </w:r>
          </w:p>
        </w:tc>
        <w:tc>
          <w:tcPr>
            <w:tcW w:w="80" w:type="dxa"/>
            <w:vAlign w:val="bottom"/>
          </w:tcPr>
          <w:p>
            <w:pPr>
              <w:spacing w:after="0"/>
              <w:rPr>
                <w:sz w:val="16"/>
                <w:szCs w:val="16"/>
                <w:color w:val="auto"/>
              </w:rPr>
            </w:pPr>
          </w:p>
        </w:tc>
        <w:tc>
          <w:tcPr>
            <w:tcW w:w="1140" w:type="dxa"/>
            <w:vAlign w:val="bottom"/>
            <w:tcBorders>
              <w:bottom w:val="single" w:sz="8" w:color="auto"/>
            </w:tcBorders>
            <w:shd w:val="clear" w:color="auto" w:fill="CCEEFF"/>
          </w:tcPr>
          <w:p>
            <w:pPr>
              <w:jc w:val="right"/>
              <w:ind w:right="1003"/>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271,566</w:t>
            </w:r>
          </w:p>
        </w:tc>
      </w:tr>
      <w:tr>
        <w:trPr>
          <w:trHeight w:val="159"/>
        </w:trPr>
        <w:tc>
          <w:tcPr>
            <w:tcW w:w="7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Supplementary disclosure of cash flow information:</w:t>
            </w:r>
          </w:p>
        </w:tc>
        <w:tc>
          <w:tcPr>
            <w:tcW w:w="7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1"/>
        </w:trPr>
        <w:tc>
          <w:tcPr>
            <w:tcW w:w="7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paid for interest</w:t>
            </w:r>
          </w:p>
        </w:tc>
        <w:tc>
          <w:tcPr>
            <w:tcW w:w="700" w:type="dxa"/>
            <w:vAlign w:val="bottom"/>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1,819</w:t>
            </w:r>
          </w:p>
        </w:tc>
        <w:tc>
          <w:tcPr>
            <w:tcW w:w="1220" w:type="dxa"/>
            <w:vAlign w:val="bottom"/>
            <w:gridSpan w:val="2"/>
          </w:tcPr>
          <w:p>
            <w:pPr>
              <w:jc w:val="right"/>
              <w:ind w:right="10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r>
      <w:tr>
        <w:trPr>
          <w:trHeight w:val="19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Non-cash operating lease right-of-use assets obtained in exchange for lease obligations</w:t>
            </w:r>
          </w:p>
        </w:tc>
        <w:tc>
          <w:tcPr>
            <w:tcW w:w="70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567</w:t>
            </w:r>
          </w:p>
        </w:tc>
        <w:tc>
          <w:tcPr>
            <w:tcW w:w="80" w:type="dxa"/>
            <w:vAlign w:val="bottom"/>
          </w:tcPr>
          <w:p>
            <w:pPr>
              <w:spacing w:after="0"/>
              <w:rPr>
                <w:sz w:val="16"/>
                <w:szCs w:val="16"/>
                <w:color w:val="auto"/>
              </w:rPr>
            </w:pPr>
          </w:p>
        </w:tc>
        <w:tc>
          <w:tcPr>
            <w:tcW w:w="1140" w:type="dxa"/>
            <w:vAlign w:val="bottom"/>
            <w:shd w:val="clear" w:color="auto" w:fill="CCEEFF"/>
          </w:tcPr>
          <w:p>
            <w:pPr>
              <w:jc w:val="right"/>
              <w:ind w:right="10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r>
    </w:tbl>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163830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11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Overview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Information</w:t>
      </w:r>
    </w:p>
    <w:p>
      <w:pPr>
        <w:spacing w:after="0" w:line="181" w:lineRule="exact"/>
        <w:rPr>
          <w:sz w:val="20"/>
          <w:szCs w:val="20"/>
          <w:color w:val="auto"/>
        </w:rPr>
      </w:pPr>
    </w:p>
    <w:p>
      <w:pPr>
        <w:jc w:val="both"/>
        <w:ind w:firstLine="5"/>
        <w:spacing w:after="0" w:line="264" w:lineRule="auto"/>
        <w:rPr>
          <w:sz w:val="20"/>
          <w:szCs w:val="20"/>
          <w:color w:val="auto"/>
        </w:rPr>
      </w:pPr>
      <w:r>
        <w:rPr>
          <w:rFonts w:ascii="Times New Roman" w:cs="Times New Roman" w:eastAsia="Times New Roman" w:hAnsi="Times New Roman"/>
          <w:sz w:val="14"/>
          <w:szCs w:val="14"/>
          <w:color w:val="auto"/>
        </w:rPr>
        <w:t>MoonLake Immunotherapeutics (“the Company” or “MoonLake”) is a clinical stage biotechnology company advancing therapies to address significant unmet needs in inflammatory skin and joint diseases. MoonLake Immunotherapeutics is currently a single asset company focused on the development of Sonelokimab (“SLK”), a novel tri-specific IL-17A and IL-17F inhibiting Nanobody that has the potential, based on response levels seen in clinical trials, to drive disease modification in dermatology and rheumatology patients. The Company's Class A Ordinary Shares are listed on the Nasdaq Capital Market (the “Nasdaq”) under the trading symbol “MLTX”.</w:t>
      </w:r>
    </w:p>
    <w:p>
      <w:pPr>
        <w:spacing w:after="0" w:line="140" w:lineRule="exact"/>
        <w:rPr>
          <w:sz w:val="20"/>
          <w:szCs w:val="20"/>
          <w:color w:val="auto"/>
        </w:rPr>
      </w:pPr>
    </w:p>
    <w:p>
      <w:pPr>
        <w:jc w:val="both"/>
        <w:ind w:firstLine="5"/>
        <w:spacing w:after="0" w:line="256" w:lineRule="auto"/>
        <w:rPr>
          <w:sz w:val="20"/>
          <w:szCs w:val="20"/>
          <w:color w:val="auto"/>
        </w:rPr>
      </w:pPr>
      <w:r>
        <w:rPr>
          <w:rFonts w:ascii="Times New Roman" w:cs="Times New Roman" w:eastAsia="Times New Roman" w:hAnsi="Times New Roman"/>
          <w:sz w:val="14"/>
          <w:szCs w:val="14"/>
          <w:color w:val="auto"/>
        </w:rPr>
        <w:t>The Company, a Cayman Islands exempted company was originally incorporated on August 13, 2020 under the name Helix Acquisition Corp. (“Helix”) as a special purpose acquisition company, formed for the purpose of effecting a merger, share exchange, asset acquisition, share purchase, reorganization, or similar business combination with one or more businesses. On April 5, 2022, Helix consummated such business combination with MoonLake Immunotherapeutics AG (“MoonLake AG”), a stock-based company incorporated in Switzerland in 2021, pursuant to that certain business combination agreement, dated October 4, 2021 (the “Business Combination Agreement”), by and among Helix, MoonLake AG, the existing equityholders of MoonLake AG set forth on the signature pages to the Business Combination Agreement and the equityholders of MoonLake AG that executed joinders to the Business Combination Agreement (collectively, the “ML Parties”), Helix Holdings LLC, a Cayman Islands limited liability company and the sponsor of Helix, and the representative of the ML Parties (such transactions contemplated by the Business Combination Agreement, collectively, the “Business Combination”). Pursuant to the Business Combination Agreement, Helix changed its name from “Helix Acquisition Corporation” to “MoonLake Immunotherapeutics”, and MoonLake AG merged with and into Helix, with MoonLake AG as the surviving company in the Business Combination and, after giving effect to such Business Combination, MoonLake AG became a subsidiary of the Company. For financial accounting and reporting purposes, MoonLake AG was deemed the accounting acquirer and Helix was treated as the accounting acquiree, and the Business Combination was accounted for as a reverse recapitalization, in accordance with accounting principles generally accepted in the United States of America (“U.S. GAAP”).</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Basis of Presentation and Significant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81" w:lineRule="exact"/>
        <w:rPr>
          <w:sz w:val="20"/>
          <w:szCs w:val="20"/>
          <w:color w:val="auto"/>
        </w:rPr>
      </w:pPr>
    </w:p>
    <w:p>
      <w:pPr>
        <w:jc w:val="both"/>
        <w:ind w:firstLine="5"/>
        <w:spacing w:after="0" w:line="258"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include those of the Company and its subsidiaries, MoonLake AG, a Swiss stock corporation (Aktiengesellschaft) registered with the commercial register of the Canton of Zug, Switzerland under the number CHE-433.093.536, MoonLake Immunotherapeutics Ltd., a private limited company incorporated in the United Kingdom, and MNLK Immunotherapeutics, Unipessoal Lda, a private limited company incorporated in Portugal, after elimination of all intercompany accounts and transactions. The accompanying unaudited condensed consolidated financial statements and notes hereto have been prepared in conformity with U.S. GAAP as set forth by the Financial Accounting Standards Board (“FASB”) and in conformity with the instructions to Form 10-Q and Rule 10-01 of Regulation S-X for interim financial reporting. Accordingly, they do not include all of the information and footnotes required by U.S. GAAP for complete financial statements. Any reference in these notes to applicable guidance is meant to refer to the authoritative U.S. GAAP as found in the Accounting Standards Codification and Accounting Standards Updates (“ASU”) of the FASB.</w:t>
      </w:r>
    </w:p>
    <w:p>
      <w:pPr>
        <w:spacing w:after="0" w:line="147"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In the opinion of management, all material adjustments necessary for a fair presentation of the financial information, which are of a normal and recurring nature, have been made for the interim periods reported. Results of operations for the three months ended March 31, 2026 are not necessarily indicative of the results for the entire fiscal year or any other period. The unaudited condensed consolidated financial information for the three months ended March 31, 2026 and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2025 have been prepared on the same basis as and should be read in conjunction with MoonLake’s audited consolidated financial statements and notes thereto for the year ended December 31, 2025 included in MoonLake’s Annual Report on Form 10-K.</w:t>
      </w:r>
    </w:p>
    <w:p>
      <w:pPr>
        <w:spacing w:after="0" w:line="124" w:lineRule="exact"/>
        <w:rPr>
          <w:sz w:val="20"/>
          <w:szCs w:val="20"/>
          <w:color w:val="auto"/>
        </w:rPr>
      </w:pPr>
    </w:p>
    <w:p>
      <w:pPr>
        <w:ind w:firstLine="5"/>
        <w:spacing w:after="0" w:line="287" w:lineRule="auto"/>
        <w:rPr>
          <w:sz w:val="20"/>
          <w:szCs w:val="20"/>
          <w:color w:val="auto"/>
        </w:rPr>
      </w:pPr>
      <w:r>
        <w:rPr>
          <w:rFonts w:ascii="Times New Roman" w:cs="Times New Roman" w:eastAsia="Times New Roman" w:hAnsi="Times New Roman"/>
          <w:sz w:val="14"/>
          <w:szCs w:val="14"/>
          <w:color w:val="auto"/>
        </w:rPr>
        <w:t>All amounts are presented in U.S. Dollar (“$”) unless otherwise indicated. The term “CHF” refers to the legal currency of Switzerland, “GBP” refers to the legal currency of the United Kingdom, and “€” and “Euro” refer to the legal currency of Portugal.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81" w:lineRule="exact"/>
        <w:rPr>
          <w:sz w:val="20"/>
          <w:szCs w:val="20"/>
          <w:color w:val="auto"/>
        </w:rPr>
      </w:pPr>
    </w:p>
    <w:p>
      <w:pPr>
        <w:ind w:firstLine="5"/>
        <w:spacing w:after="0" w:line="263"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the Company to make judgments, estimates and assumptions that affect the reported amounts of assets and liabilities at the date of the financial statements and the reported amounts of expenses. The significant judgments, estimates and assumptions relevant to the Company relate to:</w:t>
      </w:r>
    </w:p>
    <w:p>
      <w:pPr>
        <w:spacing w:after="0" w:line="1" w:lineRule="exact"/>
        <w:rPr>
          <w:sz w:val="20"/>
          <w:szCs w:val="20"/>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share-based compensation;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recoverability of the deferred tax asset;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accruals in connection with the completion of clinical trial milestones.</w:t>
      </w:r>
    </w:p>
    <w:p>
      <w:pPr>
        <w:spacing w:after="0" w:line="164" w:lineRule="exact"/>
        <w:rPr>
          <w:sz w:val="20"/>
          <w:szCs w:val="20"/>
          <w:color w:val="auto"/>
        </w:rPr>
      </w:pPr>
    </w:p>
    <w:p>
      <w:pPr>
        <w:jc w:val="both"/>
        <w:ind w:firstLine="5"/>
        <w:spacing w:after="0" w:line="264" w:lineRule="auto"/>
        <w:rPr>
          <w:sz w:val="20"/>
          <w:szCs w:val="20"/>
          <w:color w:val="auto"/>
        </w:rPr>
      </w:pPr>
      <w:r>
        <w:rPr>
          <w:rFonts w:ascii="Times New Roman" w:cs="Times New Roman" w:eastAsia="Times New Roman" w:hAnsi="Times New Roman"/>
          <w:sz w:val="14"/>
          <w:szCs w:val="14"/>
          <w:color w:val="auto"/>
        </w:rPr>
        <w:t>The Company bases its judgments and estimates on various factors and information, which may include, but are not limited to, the Company’s forecasts and future plans, current economic conditions and observable market-based transactions of its own shares, the results of which form the basis for making judgments about the carrying value of assets and liabilities and recorded amounts of expenses that are not readily apparent from other sources. To the extent there are material differences between the Company’s estimates and the actual results, the Company’s future results of operations may be affected.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181"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The Company operates as a single operating segment. The Company’s chief operating decision maker (“CODM”), its Chief Executive Officer, manages the Company’s operations on a stand-alone basis for the purposes of allocating resources and assessing financial performance.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81"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The Company considers all highly liquid investments with an original maturity of three months or less at the date of purchase to be cash equivalents. Cash and cash equivalents are recorded at cost, which approximates fair value.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Marketable Securities and Short-Term Investments</w:t>
      </w:r>
    </w:p>
    <w:p>
      <w:pPr>
        <w:spacing w:after="0" w:line="181"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The Company invests in short-term marketable securities in the form of debt securities. At the time of purchase, the Company assesses whether such debt security should be classified as held-to-maturity or available-for-sale debt securities.</w:t>
      </w:r>
    </w:p>
    <w:p>
      <w:pPr>
        <w:spacing w:after="0" w:line="124"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Debt securities are classified as held-to-maturity when the Company has the positive intent and ability to hold the securities to maturity. Held-to-maturity debt securities are carried at amortized cost, adjusted for accretion of discounts or amortization of premiums to maturity computed under the effective interest method. Such accretion or amortization is included in “Other income, net”. Marketable debt securities not classified as held-to-maturity are classified as available-for-sale and reported at fair value.</w:t>
      </w:r>
    </w:p>
    <w:p>
      <w:pPr>
        <w:spacing w:after="0" w:line="136"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Net unrealized gains and losses on available-for-sale debt securities are excluded from the determination of earnings and are instead recognized in the “Accumulated other comprehensive income” component of shareholders’ equity until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realized. Realized gains and losses on available-for-sale debt securities are computed based upon the historical cost of these securities, using the specific identification method.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income is recognized when earned. Realized gains and losses are included in “Other income, net” and the cost of securities sold is determined using the specific-identification method.</w:t>
      </w:r>
    </w:p>
    <w:p>
      <w:pPr>
        <w:spacing w:after="0" w:line="147" w:lineRule="exact"/>
        <w:rPr>
          <w:sz w:val="20"/>
          <w:szCs w:val="20"/>
          <w:color w:val="auto"/>
        </w:rPr>
      </w:pPr>
    </w:p>
    <w:p>
      <w:pPr>
        <w:jc w:val="both"/>
        <w:ind w:firstLine="5"/>
        <w:spacing w:after="0" w:line="185" w:lineRule="exact"/>
        <w:rPr>
          <w:sz w:val="20"/>
          <w:szCs w:val="20"/>
          <w:color w:val="auto"/>
        </w:rPr>
      </w:pPr>
      <w:r>
        <w:rPr>
          <w:rFonts w:ascii="Times New Roman" w:cs="Times New Roman" w:eastAsia="Times New Roman" w:hAnsi="Times New Roman"/>
          <w:sz w:val="14"/>
          <w:szCs w:val="14"/>
          <w:color w:val="auto"/>
        </w:rPr>
        <w:t>Marketable debt securities are classified as either “Cash and cash equivalents” or “Short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marketable debt securities” according to their original maturity at the time of acquisition. Changes in unrealized gains and losses pertaining to cash equivalent securities are added back into the condensed consolidated statements of cash flows as those are excluded from the determination of earnings but impact the cash and cash equivalents position.</w:t>
      </w:r>
    </w:p>
    <w:p>
      <w:pPr>
        <w:spacing w:after="0" w:line="157"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The Company estimates credit losses expected over the life of financial assets based on historical experience, current conditions and reasonable and supportable forecasts. There is no material impact to the unaudited condensed consolidated financial statements given the investments are highly liquid thereby carrying negligible credit loss risk and are all held with reputable companies with a low risk of default.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181" w:lineRule="exact"/>
        <w:rPr>
          <w:sz w:val="20"/>
          <w:szCs w:val="20"/>
          <w:color w:val="auto"/>
        </w:rPr>
      </w:pPr>
    </w:p>
    <w:p>
      <w:pPr>
        <w:jc w:val="both"/>
        <w:ind w:firstLine="5"/>
        <w:spacing w:after="0" w:line="258"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 of credit risk consist of cash accounts in large financial institutions which, at times, may exceed the CHF 100 thousand deposit protection limit in Switzerland, the $250 thousand Federal Deposit Insurance Corporation deposit insurance coverage limit in the United States, the GBP 120 thousand Financial Services Compensation Scheme deposit protection limit in the United Kingdom, or the €100 thousand Fundo de Garantia de Depósitos deposit protection limit in Portugal. The Company believes it is not exposed to significant credit risk due to the financial strength of the depository institutions in which the cash and cash equivalents are held. Additionally, the Company ensures further protection against credit risk by diversifying its cash holdings across a variety of credit institutions, thereby minimizing the potential impact of any adverse events on a single institution. Further, the Company's investment strategy for cash (in excess of current business requirements) is set to invest in short-term marketable debt securities. Management actively monitors credit risk in the investment portfolio. Credit risk exposures are controlled in accordance with policies approved by the board of directors to identify, measure, monitor and control credit risks.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in an orderly transaction between market participants at the measurement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three levels of inputs to fair value measurements:</w:t>
      </w:r>
    </w:p>
    <w:p>
      <w:pPr>
        <w:spacing w:after="0" w:line="23"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meaning the use of quoted prices for identical instruments in active markets;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meaning the use of quoted prices for similar instruments in active markets or quoted prices for identical or similar instruments in markets that are not active or are directly or indirectly observable; and</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meaning the use of unobservable inputs. Observable market data is used when available.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Transfers between Levels 1, 2 or 3 within the fair value hierarchy are recognized at the end of the reporting period when the respective transaction occurred.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Long-Term Debt</w:t>
      </w:r>
    </w:p>
    <w:p>
      <w:pPr>
        <w:spacing w:after="0" w:line="181"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 xml:space="preserve">Long-term debt is recognized as the amount of cash proceeds received plus the accreted present value of the End of Term Charge (as defined in the First Amended Loan and Security Agreement, as defined in Note 4 —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less the unamortized End of Term Charge, debt issuance costs, and debt discount. It is subsequently reported at amortized cost. Interest expense is calculated using the effective interest method and any difference between the proceeds (net of</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unamortized debt discount, debt issuance costs, End of Term Charge, and accreted present value of End of Term Charge) and the principal amount is recognized through interest expense over the estimated life of the related debt. For the undrawn term loan tranches, allocated issuance costs are recorded as deferred charges - long-term debt, which is included in “Other non-current assets” on the Company’s condensed consolidated balance sheets until drawn. In the case of a milestone event not being met or the tranche availability window expiring undrawn, the deferred asset will be recorded as interest expense on the Company's condensed consolidated statements of operations and comprehensive loss.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81"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The Company determines if an arrangement is or contains a lease at contract inception. For these arrangements, it is evaluated if the arrangement involves an identified asset that is physically distinct or whether the Company has the right to substantially all of the capacity of an identified asset that is not physically distinct. In arrangements that involve an identified asset, there is also judgment in evaluating if the Company has the right to direct the use of that asset.</w:t>
      </w:r>
    </w:p>
    <w:p>
      <w:pPr>
        <w:spacing w:after="0" w:line="136" w:lineRule="exact"/>
        <w:rPr>
          <w:sz w:val="20"/>
          <w:szCs w:val="20"/>
          <w:color w:val="auto"/>
        </w:rPr>
      </w:pPr>
    </w:p>
    <w:p>
      <w:pPr>
        <w:jc w:val="both"/>
        <w:ind w:firstLine="5"/>
        <w:spacing w:after="0" w:line="259" w:lineRule="auto"/>
        <w:rPr>
          <w:sz w:val="20"/>
          <w:szCs w:val="20"/>
          <w:color w:val="auto"/>
        </w:rPr>
      </w:pPr>
      <w:r>
        <w:rPr>
          <w:rFonts w:ascii="Times New Roman" w:cs="Times New Roman" w:eastAsia="Times New Roman" w:hAnsi="Times New Roman"/>
          <w:sz w:val="14"/>
          <w:szCs w:val="14"/>
          <w:color w:val="auto"/>
        </w:rPr>
        <w:t>MoonLake does not have any finance leases. As of March 31, 2026, the Company has five operating leases related to the office spaces located in (i) Dorfstrasse 29, 6300, Zug, Switzerland (comprised of two leases), (ii) 95 Regent Street, CB2 1AW, Cambridge, England, United Kingdom, and (iii) Rua Manuel Pinto de Azevedo 860, 4150-335, Porto, Portugal (comprised of two leases). The operating leases are recognized over a straight-line basis over the lease term commencing on the date the Company has the right to use the leased property. Right-of-use assets and lease liabilities are measured at the lease commencement date based on the present value of the remaining lease payments over the lease term, determined using the discount rate for the lease at the commencement date. Because the rate implicit in the leases is not readily determinable, the Company uses the incremental borrowing rate as the discount rate, which approximates the interest rate at which the Company could borrow on a collateralized basis with similar terms and payments and in similar economic environments.</w:t>
      </w:r>
    </w:p>
    <w:p>
      <w:pPr>
        <w:spacing w:after="0" w:line="146"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Leases with an initial term of 12 months or less and that do not have the option to purchase the underlying asset are not recorded on the balance sheets, with lease expense for these leases recognized on a straight-line basis over the lease term commencing on the date the Company has the right to use the leased property.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181"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Property and equipment, net is stated at cost, net of accumulated depreciation. Depreciation is computed using the straight-line method based on the estimated useful lives of three to five years. As of March 31, 2026, property and equipment, net relates to information technology, office equipment, and leasehold improvements.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181" w:lineRule="exact"/>
        <w:rPr>
          <w:sz w:val="20"/>
          <w:szCs w:val="20"/>
          <w:color w:val="auto"/>
        </w:rPr>
      </w:pPr>
    </w:p>
    <w:p>
      <w:pPr>
        <w:jc w:val="both"/>
        <w:ind w:firstLine="5"/>
        <w:spacing w:after="0" w:line="264" w:lineRule="auto"/>
        <w:rPr>
          <w:sz w:val="20"/>
          <w:szCs w:val="20"/>
          <w:color w:val="auto"/>
        </w:rPr>
      </w:pPr>
      <w:r>
        <w:rPr>
          <w:rFonts w:ascii="Times New Roman" w:cs="Times New Roman" w:eastAsia="Times New Roman" w:hAnsi="Times New Roman"/>
          <w:sz w:val="14"/>
          <w:szCs w:val="14"/>
          <w:color w:val="auto"/>
        </w:rPr>
        <w:t>The Company reviews all long-lived assets, which consist of operating lease right-of-use assets, and property and equipment, whenever events or changes in circumstance indicate that these assets may not be recoverable. When evaluating long-lived assets, if the Company concludes that the estimated undiscounted cash flows attributable to the assets are less than their carrying value, the Company recognizes an impairment loss based on the excess of the carrying amount of the assets over their respective fair values, which could adversely affect its results of operations. There was no impairment of long-lived assets for the three months ended March 31, 2026 and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Contract Costs and Accruals</w:t>
      </w:r>
    </w:p>
    <w:p>
      <w:pPr>
        <w:spacing w:after="0" w:line="181"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Research and development expenses include employee payroll, consulting, contract research, and contract manufacturing costs attributable to research and development activities and manufacturing of pre-launch inventory, which are expensed as incurred.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Upfront payments and milestone payments made for the licensing of technology are expensed as research and development expenses in the period in which it is probable that a liability has been incurred.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36" w:lineRule="exact"/>
        <w:rPr>
          <w:sz w:val="20"/>
          <w:szCs w:val="20"/>
          <w:color w:val="auto"/>
        </w:rPr>
      </w:pPr>
    </w:p>
    <w:p>
      <w:pPr>
        <w:jc w:val="both"/>
        <w:ind w:firstLine="5"/>
        <w:spacing w:after="0" w:line="261" w:lineRule="auto"/>
        <w:rPr>
          <w:sz w:val="20"/>
          <w:szCs w:val="20"/>
          <w:color w:val="auto"/>
        </w:rPr>
      </w:pPr>
      <w:r>
        <w:rPr>
          <w:rFonts w:ascii="Times New Roman" w:cs="Times New Roman" w:eastAsia="Times New Roman" w:hAnsi="Times New Roman"/>
          <w:sz w:val="14"/>
          <w:szCs w:val="14"/>
          <w:color w:val="auto"/>
        </w:rPr>
        <w:t>The Company has entered into various research and development contracts with companies both inside and outside of the United States. These agreements are generally cancellable, and related payments are recorded as research and development expenses as incurred. The Company records accruals for estimated ongoing research costs. When evaluating the adequacy of the accrued liabilities, the Company analyzes progress of the studies or trials, including the phase or completion of events, invoices received and contracted costs. Estimates are made in determining the accrued balances at the end of any reporting period based on facts and circumstances known at the time. Actual results could differ from the Company’s estimates. The Company’s historical accrual estimates have not been materially different from the actual costs.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Pre-Launch Inventory</w:t>
      </w:r>
    </w:p>
    <w:p>
      <w:pPr>
        <w:spacing w:after="0" w:line="181"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Prior to obtaining regulatory approval of a product candidate, the Company may incur production costs to support the commercial launch of such product. Until the date at which regulatory approval has been received or it is considered probable, and the future economic benefit is expected to be realized, all such costs are recorded as research and development expenses as incurred.</w:t>
      </w:r>
    </w:p>
    <w:p>
      <w:pPr>
        <w:spacing w:after="0" w:line="124"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A number of factors are considered in incurring such expenses, including the current status in the regulatory approval process, potential impediments to the approval process such as safety or efficacy, anticipated R&amp;D initiatives that could impact the indication in which the compound will be used, viability of commercialization, marketplace trends, and the shelf life of the compound.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Share-Based Compensation</w:t>
      </w:r>
    </w:p>
    <w:p>
      <w:pPr>
        <w:spacing w:after="0" w:line="181"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The Company recognizes compensation expense based on estimated fair values for all stock-based payment awards made to eligible employees, members of the board of directors and independent contractors that are expected to vest.</w:t>
      </w:r>
    </w:p>
    <w:p>
      <w:pPr>
        <w:spacing w:after="0" w:line="124"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The valuation of stock option awards is determined at the date of grant using the Black-Scholes option pricing model. The Black-Scholes option pricing model requires the Company to make assumptions and judgments about the inputs used in the calculations, such as the fair value of the common stock, expected term, expected volatility of the Company’s common stock, risk-free interest rate and expected dividend yield. The valuation of restricted stock awards is measured by the fair value of the Company’s common stock on the date of the grant.</w:t>
      </w:r>
    </w:p>
    <w:p>
      <w:pPr>
        <w:spacing w:after="0" w:line="136"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For all stock options granted, the Company calculated the expected term as the period that share-based awards are expected to be outstanding. The estimate of expected volatility is based on comparative companies’ volatility within the Company's industry. The risk-free rate is based on the yield available on United States Treasury zero-coupon issues corresponding to the expected term of the award.</w:t>
      </w:r>
    </w:p>
    <w:p>
      <w:pPr>
        <w:spacing w:after="0" w:line="134" w:lineRule="exact"/>
        <w:rPr>
          <w:sz w:val="20"/>
          <w:szCs w:val="20"/>
          <w:color w:val="auto"/>
        </w:rPr>
      </w:pPr>
    </w:p>
    <w:p>
      <w:pPr>
        <w:jc w:val="both"/>
        <w:ind w:firstLine="5"/>
        <w:spacing w:after="0" w:line="290" w:lineRule="auto"/>
        <w:rPr>
          <w:sz w:val="20"/>
          <w:szCs w:val="20"/>
          <w:color w:val="auto"/>
        </w:rPr>
      </w:pPr>
      <w:r>
        <w:rPr>
          <w:rFonts w:ascii="Times New Roman" w:cs="Times New Roman" w:eastAsia="Times New Roman" w:hAnsi="Times New Roman"/>
          <w:sz w:val="14"/>
          <w:szCs w:val="14"/>
          <w:color w:val="auto"/>
        </w:rPr>
        <w:t xml:space="preserve">The fair value of the common stock granted under the ESPP (as defined in Note 13 — </w:t>
      </w:r>
      <w:r>
        <w:rPr>
          <w:rFonts w:ascii="Times New Roman" w:cs="Times New Roman" w:eastAsia="Times New Roman" w:hAnsi="Times New Roman"/>
          <w:sz w:val="14"/>
          <w:szCs w:val="14"/>
          <w:i w:val="1"/>
          <w:iCs w:val="1"/>
          <w:color w:val="auto"/>
        </w:rPr>
        <w:t>Share-Based Compensation</w:t>
      </w:r>
      <w:r>
        <w:rPr>
          <w:rFonts w:ascii="Times New Roman" w:cs="Times New Roman" w:eastAsia="Times New Roman" w:hAnsi="Times New Roman"/>
          <w:sz w:val="14"/>
          <w:szCs w:val="14"/>
          <w:color w:val="auto"/>
        </w:rPr>
        <w:t>) was historically estimated by management with reference to the market-based transaction with its Series A investors, as there was no public market for the common stock.</w:t>
      </w:r>
    </w:p>
    <w:p>
      <w:pPr>
        <w:spacing w:after="0" w:line="122"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Share-based payment arrangements are accounted for under the fair value method. Total compensation is measured at grant date, based on the fair value of the award at that date, and recorded in earnings over the period the employees are required to render service. The Company recognizes compensation cost only for those awards expected to meet the service conditions on a straight-line basis over the requisite service period of the award.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w:t>
      </w:r>
    </w:p>
    <w:p>
      <w:pPr>
        <w:spacing w:after="0" w:line="181"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The functional currency of the Company and its subsidiaries is the U.S. dollar. Balances and transactions denominated in foreign currencies are converted as follows: monetary assets and liabilities are translated using exchange rates in effect at the balance sheet dates and non-monetary assets and liabilities are translated at historical exchange rates. Income and expenses are translated at the daily exchange rate on the respective transaction date.</w:t>
      </w:r>
    </w:p>
    <w:p>
      <w:pPr>
        <w:spacing w:after="0" w:line="136"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Gains or losses from foreign currency translations are included in the condensed consolidated statements of operations and comprehensive loss in “Other income, net”. The Company recognized a net foreign currency transaction gain of $56 thousand for the three months ended March 31, 2026, and a net foreign currency transaction loss of $35 thousand for the three months ended March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81" w:lineRule="exact"/>
        <w:rPr>
          <w:sz w:val="20"/>
          <w:szCs w:val="20"/>
          <w:color w:val="auto"/>
        </w:rPr>
      </w:pPr>
    </w:p>
    <w:p>
      <w:pPr>
        <w:jc w:val="both"/>
        <w:ind w:firstLine="5"/>
        <w:spacing w:after="0" w:line="261" w:lineRule="auto"/>
        <w:rPr>
          <w:sz w:val="20"/>
          <w:szCs w:val="20"/>
          <w:color w:val="auto"/>
        </w:rPr>
      </w:pPr>
      <w:r>
        <w:rPr>
          <w:rFonts w:ascii="Times New Roman" w:cs="Times New Roman" w:eastAsia="Times New Roman" w:hAnsi="Times New Roman"/>
          <w:sz w:val="14"/>
          <w:szCs w:val="14"/>
          <w:color w:val="auto"/>
        </w:rPr>
        <w:t>The Company accounts for income taxes by using the asset and liability method of accounting for income taxes. Deferred tax assets and liabilities are recognized for the future tax consequences attributable to differences between the financial statement carrying amounts of existing assets and liabilities and their respective tax bases. A valuation allowance is recorded to the extent it is more likely than not that all or a portion of the Company's deferred tax assets will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per Class A Ordinary Share</w:t>
      </w:r>
    </w:p>
    <w:p>
      <w:pPr>
        <w:spacing w:after="0" w:line="181" w:lineRule="exact"/>
        <w:rPr>
          <w:sz w:val="20"/>
          <w:szCs w:val="20"/>
          <w:color w:val="auto"/>
        </w:rPr>
      </w:pPr>
    </w:p>
    <w:p>
      <w:pPr>
        <w:jc w:val="both"/>
        <w:ind w:firstLine="5"/>
        <w:spacing w:after="0" w:line="267" w:lineRule="auto"/>
        <w:rPr>
          <w:sz w:val="20"/>
          <w:szCs w:val="20"/>
          <w:color w:val="auto"/>
        </w:rPr>
      </w:pPr>
      <w:r>
        <w:rPr>
          <w:rFonts w:ascii="Times New Roman" w:cs="Times New Roman" w:eastAsia="Times New Roman" w:hAnsi="Times New Roman"/>
          <w:sz w:val="14"/>
          <w:szCs w:val="14"/>
          <w:color w:val="auto"/>
        </w:rPr>
        <w:t>Basic net loss per Class A Ordinary Share is calculated using the two-class method under which earnings are allocated to both Class A Ordinary Shares and participating securities. Basic net loss per share is calculated by dividing the net loss attributable to Class A Ordinary Shares by the weighted-average number of Class A Ordinary Shares outstanding for the period. The diluted net loss per Class A Ordinary Share is computed by dividing the net loss using the weighted-average number of Class A Ordinary Shares and, if dilutive, potential Class A Ordinary Shares outstanding during the period.</w:t>
      </w:r>
    </w:p>
    <w:p>
      <w:pPr>
        <w:spacing w:after="0" w:line="311"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In periods in which the Company reports a net loss attributable to shareholders of Class A Ordinary Shares, diluted net loss per share attributable to shareholders of Class A Ordinary Shares is the same as basic net loss per share attributable to shareholders of Class A Ordinary Shares, since dilutive Class A Ordinary Shares are not assumed to be outstanding if their effect is anti-dilutive.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Acquisitions</w:t>
      </w:r>
    </w:p>
    <w:p>
      <w:pPr>
        <w:spacing w:after="0" w:line="181" w:lineRule="exact"/>
        <w:rPr>
          <w:sz w:val="20"/>
          <w:szCs w:val="20"/>
          <w:color w:val="auto"/>
        </w:rPr>
      </w:pPr>
    </w:p>
    <w:p>
      <w:pPr>
        <w:jc w:val="both"/>
        <w:ind w:firstLine="5"/>
        <w:spacing w:after="0" w:line="259" w:lineRule="auto"/>
        <w:rPr>
          <w:sz w:val="20"/>
          <w:szCs w:val="20"/>
          <w:color w:val="auto"/>
        </w:rPr>
      </w:pPr>
      <w:r>
        <w:rPr>
          <w:rFonts w:ascii="Times New Roman" w:cs="Times New Roman" w:eastAsia="Times New Roman" w:hAnsi="Times New Roman"/>
          <w:sz w:val="14"/>
          <w:szCs w:val="14"/>
          <w:color w:val="auto"/>
        </w:rPr>
        <w:t>The Company evaluates acquisitions of assets and other similar transactions to assess whether or not the transaction should be accounted for as a business combination or asset acquisition by first assessing whether substantially all of the fair value of the gross assets acquired is concentrated in a single identifiable asset or group of similar identifiable assets. On April 29, 2021, MoonLake AG entered into an in-licensing agreement (the “In-License Agreement”) with Merck Healthcare KGaA, Darmstadt, Germany (“MHKDG”) to acquire the Sonelokimab program (the “SLK Program”) and determined that substantially all of the fair value of the gross assets acquired related to IPR&amp;D of SLK. Therefore, this transaction was accounted for as an asset acquisition. IPR&amp;D represents incomplete technologies that the Company acquires, which at the time of acquisition, are still under development and have no alternative future use. The fair value of such technologies is expensed upon acquisition.</w:t>
      </w:r>
    </w:p>
    <w:p>
      <w:pPr>
        <w:spacing w:after="0" w:line="146"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Contingent consideration payments (for example milestone payments due upon the occurrence of a specific event) in asset acquisitions are recognized in the period in which it is probable that a liability has been incurred (unless the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contingent consideration meets the definition of a derivative, in which case the amount becomes part of the cost in the asset acquired). Upon recognition of the contingent consideration payment, the amount is expensed if it relates to IPR&amp;D or capitalized if it relates to a developed product which is generally considered to be when clinical trials have been completed and regulatory approval obtained.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Future royalty payments due on net sales will be recognized in cost of goods sold when net sales are recognized.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Pensions</w:t>
      </w:r>
    </w:p>
    <w:p>
      <w:pPr>
        <w:spacing w:after="0" w:line="181" w:lineRule="exact"/>
        <w:rPr>
          <w:sz w:val="20"/>
          <w:szCs w:val="20"/>
          <w:color w:val="auto"/>
        </w:rPr>
      </w:pPr>
    </w:p>
    <w:p>
      <w:pPr>
        <w:jc w:val="both"/>
        <w:ind w:firstLine="5"/>
        <w:spacing w:after="0" w:line="259" w:lineRule="auto"/>
        <w:rPr>
          <w:sz w:val="20"/>
          <w:szCs w:val="20"/>
          <w:color w:val="auto"/>
        </w:rPr>
      </w:pPr>
      <w:r>
        <w:rPr>
          <w:rFonts w:ascii="Times New Roman" w:cs="Times New Roman" w:eastAsia="Times New Roman" w:hAnsi="Times New Roman"/>
          <w:sz w:val="14"/>
          <w:szCs w:val="14"/>
          <w:color w:val="auto"/>
        </w:rPr>
        <w:t>The Company accounts for pension assets and liabilities, which requires the recognition of the funded status of pension plans in the Company’s condensed consolidated balance sheets. The liability in respect to defined benefit pension plans is the projected benefit obligation calculated annually by independent actuaries using the projected unit credit method. The projected benefit obligation represents the actuarial present value of the estimated future payments required to settle the obligation that is attributable to employee services rendered before the balance sheet date. Service costs for such pension plans, represented in the net periodic pension benefit cost, are included in the personnel expenses of the various functions where the employees are engaged. The other components of net benefit cost are included in the condensed consolidated statements of operations and comprehensive loss separately from the service cost component, in “Other income, net”. Plan assets are recorded at their fair value.</w:t>
      </w:r>
    </w:p>
    <w:p>
      <w:pPr>
        <w:spacing w:after="0" w:line="146"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Gains or losses arising from plan curtailments or settlements are accounted for at the time they occur. Any net pension asset is limited to the present value of the future economic benefits available to the Company in the form of refunds from the plan or expected reductions in future contributions to the plan. Actuarial gains and losses arising from differences between the actual and the expected return on plan assets are recognized in “Accumulated other comprehensive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79" w:lineRule="exact"/>
        <w:rPr>
          <w:sz w:val="20"/>
          <w:szCs w:val="20"/>
          <w:color w:val="auto"/>
        </w:rPr>
      </w:pPr>
    </w:p>
    <w:p>
      <w:pPr>
        <w:jc w:val="both"/>
        <w:ind w:firstLine="5"/>
        <w:spacing w:after="0" w:line="262" w:lineRule="auto"/>
        <w:rPr>
          <w:sz w:val="20"/>
          <w:szCs w:val="20"/>
          <w:color w:val="auto"/>
        </w:rPr>
      </w:pPr>
      <w:r>
        <w:rPr>
          <w:rFonts w:ascii="Times New Roman" w:cs="Times New Roman" w:eastAsia="Times New Roman" w:hAnsi="Times New Roman"/>
          <w:sz w:val="14"/>
          <w:szCs w:val="14"/>
          <w:color w:val="auto"/>
        </w:rPr>
        <w:t xml:space="preserve">In September 2025, the FASB issued ASU 2025-07, </w:t>
      </w:r>
      <w:r>
        <w:rPr>
          <w:rFonts w:ascii="Times New Roman" w:cs="Times New Roman" w:eastAsia="Times New Roman" w:hAnsi="Times New Roman"/>
          <w:sz w:val="14"/>
          <w:szCs w:val="14"/>
          <w:i w:val="1"/>
          <w:iCs w:val="1"/>
          <w:color w:val="auto"/>
        </w:rPr>
        <w:t>Derivatives and Hedging (Topic 815) and Revenue from Contracts with Customers (Topic 606): Derivatives Scope Refinements and Scope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Clarification for Share-Based Noncash Consideration from a Customer in a Revenue Contract</w:t>
      </w:r>
      <w:r>
        <w:rPr>
          <w:rFonts w:ascii="Times New Roman" w:cs="Times New Roman" w:eastAsia="Times New Roman" w:hAnsi="Times New Roman"/>
          <w:sz w:val="14"/>
          <w:szCs w:val="14"/>
          <w:color w:val="auto"/>
        </w:rPr>
        <w:t>, which introduces a new scope exception to derivative accounting for non-exchange-traded contracts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underlyings based on operations or activities specific to one of the parties to the contract, such as regulatory approval. Although it is effective for fiscal years beginning after December 15, 2026, the Company adopted early a modified retrospective application of ASU 2025-07 during the three months ended March 31, 2026. The adoption of ASU 2025-07 did not have a material impact on the Company’s unaudited condensed consolidated financial statements and related disclosures for the three months ended March 31, 2026.</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 Not Yet Adopted</w:t>
      </w:r>
    </w:p>
    <w:p>
      <w:pPr>
        <w:spacing w:after="0" w:line="179" w:lineRule="exact"/>
        <w:rPr>
          <w:sz w:val="20"/>
          <w:szCs w:val="20"/>
          <w:color w:val="auto"/>
        </w:rPr>
      </w:pPr>
    </w:p>
    <w:p>
      <w:pPr>
        <w:jc w:val="both"/>
        <w:ind w:firstLine="5"/>
        <w:spacing w:after="0" w:line="262"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 - Reporting Comprehensive Income - Expense Disaggregation Disclosure</w:t>
      </w:r>
      <w:r>
        <w:rPr>
          <w:rFonts w:ascii="Times New Roman" w:cs="Times New Roman" w:eastAsia="Times New Roman" w:hAnsi="Times New Roman"/>
          <w:sz w:val="14"/>
          <w:szCs w:val="14"/>
          <w:color w:val="auto"/>
        </w:rPr>
        <w:t>, which requires a public entity to disclose additional information about specific expense categories in the notes to financial statements on an annual and interim basis. It is effective for fiscal years beginning after December 15, 2026, and interim periods within fiscal years beginning after December 15, 2027. The Company is currently evaluating the impact of ASU 2024-03. In January 2025, the FASB issued ASU 2025-01 to clarify that all public entities, including non-calendar year-end entities, should adopt the disclosure requirements of ASU 2024-03. The Company is currently evaluating the impact this will have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Risks and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Going Concern, Liquidity and Capital Resources</w:t>
      </w:r>
    </w:p>
    <w:p>
      <w:pPr>
        <w:spacing w:after="0" w:line="181" w:lineRule="exact"/>
        <w:rPr>
          <w:sz w:val="20"/>
          <w:szCs w:val="20"/>
          <w:color w:val="auto"/>
        </w:rPr>
      </w:pPr>
    </w:p>
    <w:p>
      <w:pPr>
        <w:jc w:val="both"/>
        <w:ind w:firstLine="5"/>
        <w:spacing w:after="0" w:line="264" w:lineRule="auto"/>
        <w:rPr>
          <w:sz w:val="20"/>
          <w:szCs w:val="20"/>
          <w:color w:val="auto"/>
        </w:rPr>
      </w:pPr>
      <w:r>
        <w:rPr>
          <w:rFonts w:ascii="Times New Roman" w:cs="Times New Roman" w:eastAsia="Times New Roman" w:hAnsi="Times New Roman"/>
          <w:sz w:val="14"/>
          <w:szCs w:val="14"/>
          <w:color w:val="auto"/>
        </w:rPr>
        <w:t>MoonLake is subject to risks common to companies in the biopharmaceutical industry, and the Company believes that changes in any of the following areas could have a material adverse effect on the Company's future financial position or results of operations: ability to obtain future financing, regulatory approval and market acceptance of, and reimbursement for, product candidates, performance of third-party contract research organizations and manufacturers upon which the Company relies, protection of the Company's intellectual property, litigation or claims against the Company based on intellectual property, patent, product, regulatory, clinical or other factors, and the Company's ability to attract and retain employees necessary to support its growth.</w:t>
      </w:r>
    </w:p>
    <w:p>
      <w:pPr>
        <w:spacing w:after="0" w:line="140"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The Company is dependent on third-party manufacturers to supply products for research and development activities in its programs and for eventual commercialization. In particular, the Company relies and expects to continue to rely on a small number of manufacturers to supply the Company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136" w:lineRule="exact"/>
        <w:rPr>
          <w:sz w:val="20"/>
          <w:szCs w:val="20"/>
          <w:color w:val="auto"/>
        </w:rPr>
      </w:pPr>
    </w:p>
    <w:p>
      <w:pPr>
        <w:jc w:val="both"/>
        <w:ind w:firstLine="5"/>
        <w:spacing w:after="0" w:line="264" w:lineRule="auto"/>
        <w:rPr>
          <w:sz w:val="20"/>
          <w:szCs w:val="20"/>
          <w:color w:val="auto"/>
        </w:rPr>
      </w:pPr>
      <w:r>
        <w:rPr>
          <w:rFonts w:ascii="Times New Roman" w:cs="Times New Roman" w:eastAsia="Times New Roman" w:hAnsi="Times New Roman"/>
          <w:sz w:val="14"/>
          <w:szCs w:val="14"/>
          <w:color w:val="auto"/>
        </w:rPr>
        <w:t>The Company's ability to generate revenue sufficient to achieve profitability will depend on the successful development and eventual commercialization of SLK in one or more indications, which is expected to take a number of years. The Company expects to continue to incur substantial expenses and operating losses for at least the next two years as the Company continues the development of SLK and prepares for commercial launches. It is expected that operating losses will fluctuate notably from year to year depending on the timing of the Company's planned clinical development programs, efforts to achieve regulatory approval, and planned marketing and sales expenditures leading up to a commercial launch.</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incurred a loss of $69.7 million for the three months ended March 31, 2026. As of March 31, 2026, the Company’s current assets exceeded its current liabilities by $350.5 million.</w:t>
      </w:r>
    </w:p>
    <w:p>
      <w:pPr>
        <w:spacing w:after="0" w:line="179"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As of March 31, 2026, the Company had $357.9 million of cash and cash equivalents and short-term marketable debt securities. Based on the Company's current operating plan and proceeds received from the issuance of Class A Ordinary Shares under the Sales Agreement (as defined below) subsequent to the reporting period, management believes that the Company has sufficient capital to fund its operations and capital expenditures to the end of 2027.</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Debt</w:t>
      </w:r>
    </w:p>
    <w:p>
      <w:pPr>
        <w:spacing w:after="0" w:line="170" w:lineRule="exact"/>
        <w:rPr>
          <w:sz w:val="20"/>
          <w:szCs w:val="20"/>
          <w:color w:val="auto"/>
        </w:rPr>
      </w:pPr>
    </w:p>
    <w:p>
      <w:pPr>
        <w:jc w:val="both"/>
        <w:ind w:firstLine="5"/>
        <w:spacing w:after="0" w:line="245" w:lineRule="auto"/>
        <w:rPr>
          <w:sz w:val="20"/>
          <w:szCs w:val="20"/>
          <w:color w:val="auto"/>
        </w:rPr>
      </w:pPr>
      <w:r>
        <w:rPr>
          <w:rFonts w:ascii="Times New Roman" w:cs="Times New Roman" w:eastAsia="Times New Roman" w:hAnsi="Times New Roman"/>
          <w:sz w:val="14"/>
          <w:szCs w:val="14"/>
          <w:color w:val="auto"/>
        </w:rPr>
        <w:t>On March 31, 2025 (the “Closing Date”), MoonLake as a guarantor entered into a loan and security agreement (the “Original Loan and Security Agreement”) with its subsidiary, MoonLake AG, as borrower, the lenders party thereto (the “Lenders”), and Hercules Capital, Inc. (“Hercules”), as the administrative and collateral agent for itself and the Lenders. The Loan and Security Agreement provided a non-dilutive senior secured term loan facility (the “Original Credit Facility”) comprised of five tranches of up to an aggregate principal amount of $500.0 million. The Credit Facility matures on April 1, 2030 and bears interest at an annual rate equal to the greater of (i) prime rate as reported in The Wall Street Journal plus 1.45% and (ii) 8.45%, subject to a 0.25% reduction upon achievement of the U.S. Food and Drug Administration's (“FDA”) approval of a Biologics License Application (“BLA”) for SLK.</w:t>
      </w:r>
    </w:p>
    <w:p>
      <w:pPr>
        <w:spacing w:after="0" w:line="144" w:lineRule="exact"/>
        <w:rPr>
          <w:sz w:val="20"/>
          <w:szCs w:val="20"/>
          <w:color w:val="auto"/>
        </w:rPr>
      </w:pPr>
    </w:p>
    <w:p>
      <w:pPr>
        <w:jc w:val="both"/>
        <w:ind w:firstLine="5"/>
        <w:spacing w:after="0" w:line="246" w:lineRule="auto"/>
        <w:rPr>
          <w:sz w:val="20"/>
          <w:szCs w:val="20"/>
          <w:color w:val="auto"/>
        </w:rPr>
      </w:pPr>
      <w:r>
        <w:rPr>
          <w:rFonts w:ascii="Times New Roman" w:cs="Times New Roman" w:eastAsia="Times New Roman" w:hAnsi="Times New Roman"/>
          <w:sz w:val="14"/>
          <w:szCs w:val="14"/>
          <w:color w:val="auto"/>
        </w:rPr>
        <w:t>On February 20, 2026 (the “Amendment Closing Date”), the Company executed the First Amendment to the Loan and Security Agreement (the “First Amended Loan and Security Agreement” and, together with the Original Loan and Security Agreement, the “Loan and Security Agreement”) with, among others, Hercules, as administrative and collateral agent for the Lenders, which amended the Original Loan and Security Agreement. The Loan and Security Agreement provides for a non-dilutive senior secured term loan facility (the “Amended Credit Facility” and, together with the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Original Credit Facility, the “Credit Facility”) comprised of six tranches of up to an aggregate principal amount of $500.0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Credit Facility comprises:</w:t>
      </w:r>
    </w:p>
    <w:p>
      <w:pPr>
        <w:spacing w:after="0" w:line="179" w:lineRule="exact"/>
        <w:rPr>
          <w:sz w:val="20"/>
          <w:szCs w:val="20"/>
          <w:color w:val="auto"/>
        </w:rPr>
      </w:pPr>
    </w:p>
    <w:p>
      <w:pPr>
        <w:ind w:left="500" w:hanging="240"/>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first tranche (the “Tranche 1 Loan”) in an aggregate principal amount of $75.0 million fully funded on the Closing Date,</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second tranche (the “Tranche 2 Loan”) in an aggregate principal amount of $25.0 million fully funded on the Amendment Closing Date,</w:t>
      </w:r>
    </w:p>
    <w:p>
      <w:pPr>
        <w:spacing w:after="0" w:line="8" w:lineRule="exact"/>
        <w:rPr>
          <w:rFonts w:ascii="Times New Roman" w:cs="Times New Roman" w:eastAsia="Times New Roman" w:hAnsi="Times New Roman"/>
          <w:sz w:val="14"/>
          <w:szCs w:val="14"/>
          <w:color w:val="auto"/>
        </w:rPr>
      </w:pPr>
    </w:p>
    <w:p>
      <w:pPr>
        <w:jc w:val="both"/>
        <w:ind w:left="520" w:hanging="260"/>
        <w:spacing w:after="0" w:line="253" w:lineRule="auto"/>
        <w:tabs>
          <w:tab w:leader="none" w:pos="51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Company's announcement that the IZAR-1 and IZAR-2 Phase 3 studies of SLK in patients with active psoriatic arthritis each achieved their protocol-specified primary endpoint and that the efficacy and safety data available to the Company together support the planned commercialization strategy and outlook of the Company (the “Tranche 3 Milestone”), a third tranche with additional term loans in an aggregate principal amount of up to $50.0 million, available on the Tranche 3 Milestone achievement date through the earlier of (i) 60 days following such date and (ii) March 15, 2027,</w:t>
      </w:r>
    </w:p>
    <w:p>
      <w:pPr>
        <w:jc w:val="both"/>
        <w:ind w:left="520" w:hanging="260"/>
        <w:spacing w:after="0" w:line="253"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MoonLake’s announcement that the VELA-1 and VELA-2 Phase 3 studies of SLK in adult patients with moderate to severe hidradenitis suppurativa each demonstrated clinically meaningful improvements across the 52-week endpoints with SLK having demonstrated an acceptable safety profile, which together support (x) the planned commercialization strategy and outlook of the Company and (y) the filing of the BLA for SLK with the FDA for an indication for use generally consistent with the population studied in VELA-1 and VELA-2 of patients with moderate to severe hidradenitis suppurativa as the next immediate step in development (together, the “Tranche 4 HS Milestone”), and immediately prior to the advance a fourth tranche, MoonLake has closed the previous 10 consecutive trading days with a market capitalization of at least $1,500.0 million; provided that, the first trading day tested cannot be prior to the public announcement of the Tranche 4 HS Milestone (collectively with the Tranche 4 HS Milestone, the "Amended Tranche 4 Milestone"), this fourth tranche with additional term loans in an aggregate principal amount of up to $50.0 million, available on the Amended Tranche 4 Milestone achievement date through the earlier of (i) 60 days following the achievement of the Tranche 4 HS Milestone and (ii) December 15, 2026,</w:t>
      </w:r>
    </w:p>
    <w:p>
      <w:pPr>
        <w:jc w:val="both"/>
        <w:ind w:left="520" w:hanging="260"/>
        <w:spacing w:after="0" w:line="253" w:lineRule="auto"/>
        <w:tabs>
          <w:tab w:leader="none" w:pos="51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Company’s achievement of the Tranche 4 HS Milestone and the FDA’s approval of the Company’s submission of a BLA for SLK with an indication for use generally consistent with that sought in the Company’s BLA filing with the FDA and which supports the target product profile for SLK (the “Approval Milestone”) (collectively, the “Tranche 5 Milestone”), a fifth tranche with additional term loans in an aggregate principal amount of up to $100.0 million, available on the Tranche 5 Milestone achievement date through the earlier of</w:t>
      </w: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60 days following such date and (ii) December 15, 2027, and</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approval by the Lenders’ in their discretion, a sixth tranche (the “Tranche 6 Loan”) of additional term loans in an aggregate principal amount of up to $200.0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2026, the Company's carrying value of long-term debt and recognized deferred charges on the condensed consolidated balance sheet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1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4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8"/>
                <w:szCs w:val="18"/>
                <w:color w:val="auto"/>
              </w:rPr>
            </w:pPr>
          </w:p>
        </w:tc>
        <w:tc>
          <w:tcPr>
            <w:tcW w:w="14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2"/>
        </w:trPr>
        <w:tc>
          <w:tcPr>
            <w:tcW w:w="7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3"/>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amount</w:t>
            </w:r>
          </w:p>
        </w:tc>
        <w:tc>
          <w:tcPr>
            <w:tcW w:w="24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r>
      <w:tr>
        <w:trPr>
          <w:trHeight w:val="193"/>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Accreted present value of End of Term Charge</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3,618</w:t>
            </w:r>
          </w:p>
        </w:tc>
      </w:tr>
      <w:tr>
        <w:trPr>
          <w:trHeight w:val="21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Unamortized debt discount, issuance costs, and End of Term Charge</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w:t>
            </w:r>
          </w:p>
        </w:tc>
      </w:tr>
      <w:tr>
        <w:trPr>
          <w:trHeight w:val="184"/>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99,018</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74,100</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1"/>
        </w:trPr>
        <w:tc>
          <w:tcPr>
            <w:tcW w:w="7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91"/>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2"/>
        </w:trPr>
        <w:tc>
          <w:tcPr>
            <w:tcW w:w="7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charges - long-term debt</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r>
      <w:tr>
        <w:trPr>
          <w:trHeight w:val="184"/>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1,344</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587</w:t>
            </w:r>
          </w:p>
        </w:tc>
      </w:tr>
      <w:tr>
        <w:trPr>
          <w:trHeight w:val="20"/>
        </w:trPr>
        <w:tc>
          <w:tcPr>
            <w:tcW w:w="7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5"/>
        <w:spacing w:after="0" w:line="264" w:lineRule="auto"/>
        <w:rPr>
          <w:sz w:val="20"/>
          <w:szCs w:val="20"/>
          <w:color w:val="auto"/>
        </w:rPr>
      </w:pPr>
      <w:r>
        <w:rPr>
          <w:rFonts w:ascii="Times New Roman" w:cs="Times New Roman" w:eastAsia="Times New Roman" w:hAnsi="Times New Roman"/>
          <w:sz w:val="14"/>
          <w:szCs w:val="14"/>
          <w:color w:val="auto"/>
        </w:rPr>
        <w:t>The effective interest rate on the Tranche 1 and Tranche 2 Loans is 9.93%. For the three months ended March 31, 2026 and 2025, the Company recognized interest expense of $2.3 million and $18 thousand, respectively. A portion of the debt issuance costs related to the undrawn tranches were recognized as deferred charges until drawn. During the period ended December 31, 2025, debt issuance costs related to the previously unavailable tranches were recognized as interest expense, reducing deferred charges. No such expense recognition has occurred during the three months ended March 31, 2026.</w:t>
      </w:r>
    </w:p>
    <w:p>
      <w:pPr>
        <w:spacing w:after="0" w:line="130" w:lineRule="exact"/>
        <w:rPr>
          <w:sz w:val="20"/>
          <w:szCs w:val="20"/>
          <w:color w:val="auto"/>
        </w:rPr>
      </w:pPr>
    </w:p>
    <w:p>
      <w:pPr>
        <w:jc w:val="both"/>
        <w:ind w:firstLine="5"/>
        <w:spacing w:after="0"/>
        <w:rPr>
          <w:sz w:val="20"/>
          <w:szCs w:val="20"/>
          <w:color w:val="auto"/>
        </w:rPr>
      </w:pPr>
      <w:r>
        <w:rPr>
          <w:rFonts w:ascii="Times New Roman" w:cs="Times New Roman" w:eastAsia="Times New Roman" w:hAnsi="Times New Roman"/>
          <w:sz w:val="14"/>
          <w:szCs w:val="14"/>
          <w:color w:val="auto"/>
        </w:rPr>
        <w:t>The Company may prepay advances in whole at any time subject to a prepayment charge. Upon repayment of all term loans on or after April 1, 2027, the Company is further required to pay an additional charge equal to 6.95% for the Tranche 1 Loan, the Tranche 2 Loan, and any future draws under the Tranche 3 Loan, Tranche 4 Loan, or Tranche 5 Loan; 4.25% for any future draw under the Tranche 6 Loan, and if repayment occurs prior to 24 months, the charge applied will be 4.25% ("End of Term Charge"). As of March 31, 2026, the End of Term Charge is accrued at 6.95% of the Tranche 1 Loan and the Tranche 2 Loan balances and is recorded at present value as an addition to the long-term debt in non-current liabilities whereas the unamortized portion is recorded as contra non-current liabilities. The unamortized End of Term Charge contra liability will be amortized and the present value of the liability will be accreted up to the future value over the loan term as interest expense. The Tranche 1 Loan and the Tranche 2 Loan have a maturity requirement of $100.0 million due in 2030, with no other principal payments due for each of the five years following the date of the latest condensed consolidated balance sheets presented. Additional fees will be payable in connection with the Credit Facility upon drawing of future tranches.</w:t>
      </w:r>
    </w:p>
    <w:p>
      <w:pPr>
        <w:spacing w:after="0" w:line="146" w:lineRule="exact"/>
        <w:rPr>
          <w:sz w:val="20"/>
          <w:szCs w:val="20"/>
          <w:color w:val="auto"/>
        </w:rPr>
      </w:pPr>
    </w:p>
    <w:p>
      <w:pPr>
        <w:jc w:val="both"/>
        <w:ind w:firstLine="5"/>
        <w:spacing w:after="0" w:line="271" w:lineRule="auto"/>
        <w:rPr>
          <w:sz w:val="20"/>
          <w:szCs w:val="20"/>
          <w:color w:val="auto"/>
        </w:rPr>
      </w:pPr>
      <w:r>
        <w:rPr>
          <w:rFonts w:ascii="Times New Roman" w:cs="Times New Roman" w:eastAsia="Times New Roman" w:hAnsi="Times New Roman"/>
          <w:sz w:val="14"/>
          <w:szCs w:val="14"/>
          <w:color w:val="auto"/>
        </w:rPr>
        <w:t>The Loan and Security Agreement allows for the Company to satisfy a portion of the cash interest payments by capitalizing such interest payments as payment-in-kind (“PIK”). No PIK interest relating to the term loan has been recorded and included in the condensed consolidated balance sheet as of March 31, 2026.</w:t>
      </w:r>
    </w:p>
    <w:p>
      <w:pPr>
        <w:spacing w:after="0" w:line="124" w:lineRule="exact"/>
        <w:rPr>
          <w:sz w:val="20"/>
          <w:szCs w:val="20"/>
          <w:color w:val="auto"/>
        </w:rPr>
      </w:pPr>
    </w:p>
    <w:p>
      <w:pPr>
        <w:jc w:val="both"/>
        <w:ind w:firstLine="5"/>
        <w:spacing w:after="0" w:line="271" w:lineRule="auto"/>
        <w:rPr>
          <w:sz w:val="20"/>
          <w:szCs w:val="20"/>
          <w:color w:val="auto"/>
        </w:rPr>
      </w:pPr>
      <w:r>
        <w:rPr>
          <w:rFonts w:ascii="Times New Roman" w:cs="Times New Roman" w:eastAsia="Times New Roman" w:hAnsi="Times New Roman"/>
          <w:sz w:val="14"/>
          <w:szCs w:val="14"/>
          <w:color w:val="auto"/>
        </w:rPr>
        <w:t>The Loan and Security Agreement contains customary covenants, such as financial covenants and certain events of default after which loans under the Credit Facility may be due and payable immediately. The Company was in compliance with all covenants as of March 31, 2026.</w:t>
      </w:r>
    </w:p>
    <w:p>
      <w:pPr>
        <w:spacing w:after="0" w:line="124" w:lineRule="exact"/>
        <w:rPr>
          <w:sz w:val="20"/>
          <w:szCs w:val="20"/>
          <w:color w:val="auto"/>
        </w:rPr>
      </w:pPr>
    </w:p>
    <w:p>
      <w:pPr>
        <w:jc w:val="both"/>
        <w:ind w:firstLine="5"/>
        <w:spacing w:after="0" w:line="271" w:lineRule="auto"/>
        <w:rPr>
          <w:sz w:val="20"/>
          <w:szCs w:val="20"/>
          <w:color w:val="auto"/>
        </w:rPr>
      </w:pPr>
      <w:r>
        <w:rPr>
          <w:rFonts w:ascii="Times New Roman" w:cs="Times New Roman" w:eastAsia="Times New Roman" w:hAnsi="Times New Roman"/>
          <w:sz w:val="14"/>
          <w:szCs w:val="14"/>
          <w:color w:val="auto"/>
        </w:rPr>
        <w:t>All obligations under the Loan and Security Agreement are secured on a first-priority basis, subject to certain exceptions, by security interests in substantially all assets of the Company and material subsidiaries of the Company, including its intellectual property, and is guaranteed by material subsidiaries of the Company, including foreign subsidiaries,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Fair Value Measurements</w:t>
      </w:r>
    </w:p>
    <w:p>
      <w:pPr>
        <w:spacing w:after="0" w:line="181"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The following table presents information about the Company's short-term marketable debt securities measured at fair value on a recurring basis and indicate the level in the fair value hierarchy in which the Company classifies the fair value measurement: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760" w:type="dxa"/>
            <w:vAlign w:val="bottom"/>
          </w:tcPr>
          <w:p>
            <w:pPr>
              <w:spacing w:after="0"/>
              <w:rPr>
                <w:sz w:val="17"/>
                <w:szCs w:val="17"/>
                <w:color w:val="auto"/>
              </w:rPr>
            </w:pPr>
          </w:p>
        </w:tc>
        <w:tc>
          <w:tcPr>
            <w:tcW w:w="212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gridSpan w:val="3"/>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00" w:type="dxa"/>
            <w:vAlign w:val="bottom"/>
          </w:tcPr>
          <w:p>
            <w:pPr>
              <w:spacing w:after="0"/>
              <w:rPr>
                <w:sz w:val="17"/>
                <w:szCs w:val="17"/>
                <w:color w:val="auto"/>
              </w:rPr>
            </w:pPr>
          </w:p>
        </w:tc>
      </w:tr>
      <w:tr>
        <w:trPr>
          <w:trHeight w:val="202"/>
        </w:trPr>
        <w:tc>
          <w:tcPr>
            <w:tcW w:w="3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4"/>
        </w:trPr>
        <w:tc>
          <w:tcPr>
            <w:tcW w:w="3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Eurocommercial Papers</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29,717</w:t>
            </w:r>
          </w:p>
        </w:tc>
        <w:tc>
          <w:tcPr>
            <w:tcW w:w="100" w:type="dxa"/>
            <w:vAlign w:val="bottom"/>
          </w:tcPr>
          <w:p>
            <w:pPr>
              <w:spacing w:after="0"/>
              <w:rPr>
                <w:sz w:val="16"/>
                <w:szCs w:val="16"/>
                <w:color w:val="auto"/>
              </w:rPr>
            </w:pPr>
          </w:p>
        </w:tc>
        <w:tc>
          <w:tcPr>
            <w:tcW w:w="920" w:type="dxa"/>
            <w:vAlign w:val="bottom"/>
            <w:tcBorders>
              <w:top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29,717</w:t>
            </w:r>
          </w:p>
        </w:tc>
        <w:tc>
          <w:tcPr>
            <w:tcW w:w="80" w:type="dxa"/>
            <w:vAlign w:val="bottom"/>
          </w:tcPr>
          <w:p>
            <w:pPr>
              <w:spacing w:after="0"/>
              <w:rPr>
                <w:sz w:val="16"/>
                <w:szCs w:val="16"/>
                <w:color w:val="auto"/>
              </w:rPr>
            </w:pPr>
          </w:p>
        </w:tc>
        <w:tc>
          <w:tcPr>
            <w:tcW w:w="740" w:type="dxa"/>
            <w:vAlign w:val="bottom"/>
            <w:tcBorders>
              <w:top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Borders>
              <w:top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29,714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29,714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59,451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59,451</w:t>
            </w:r>
          </w:p>
        </w:tc>
      </w:tr>
      <w:tr>
        <w:trPr>
          <w:trHeight w:val="184"/>
        </w:trPr>
        <w:tc>
          <w:tcPr>
            <w:tcW w:w="3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59,431</w:t>
            </w:r>
          </w:p>
        </w:tc>
        <w:tc>
          <w:tcPr>
            <w:tcW w:w="1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59,431</w:t>
            </w:r>
          </w:p>
        </w:tc>
        <w:tc>
          <w:tcPr>
            <w:tcW w:w="8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59,451</w:t>
            </w: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59,451</w:t>
            </w:r>
          </w:p>
        </w:tc>
      </w:tr>
    </w:tbl>
    <w:p>
      <w:pPr>
        <w:spacing w:after="0" w:line="229"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Cash and accounts payable approximate their fair values as of March 31, 2026 and December 31, 2025, due to their short-term nature. Pension plan assets fair value is determined based on Level 2 inputs. The fair value of the long-term debt is estimated using the net present value of the payments, discounted at an interest rate that is consistent with a market interest rate, which is a Level 2 input as it is not actively traded. As of March 31, 2026, long-term debt of $99.0 million is reported at amortized cost which approximates the fair value.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Investments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and amortized cost of investments in short-term marketable debt securities by major security type as of March 31, 2026 and December 31, 2025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1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1"/>
        </w:trPr>
        <w:tc>
          <w:tcPr>
            <w:tcW w:w="4100" w:type="dxa"/>
            <w:vAlign w:val="bottom"/>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9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4"/>
        </w:trPr>
        <w:tc>
          <w:tcPr>
            <w:tcW w:w="410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auto"/>
              </w:rPr>
              <w:t>Eurocommercial Papers</w:t>
            </w: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29,536</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Pr>
          <w:p>
            <w:pPr>
              <w:spacing w:after="0"/>
              <w:rPr>
                <w:sz w:val="15"/>
                <w:szCs w:val="15"/>
                <w:color w:val="auto"/>
              </w:rPr>
            </w:pPr>
          </w:p>
        </w:tc>
        <w:tc>
          <w:tcPr>
            <w:tcW w:w="900" w:type="dxa"/>
            <w:vAlign w:val="bottom"/>
            <w:tcBorders>
              <w:top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29,717</w:t>
            </w:r>
          </w:p>
        </w:tc>
      </w:tr>
      <w:tr>
        <w:trPr>
          <w:trHeight w:val="232"/>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29,714</w:t>
            </w:r>
          </w:p>
        </w:tc>
      </w:tr>
      <w:tr>
        <w:trPr>
          <w:trHeight w:val="181"/>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59,069</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9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362</w:t>
            </w:r>
          </w:p>
        </w:tc>
        <w:tc>
          <w:tcPr>
            <w:tcW w:w="80" w:type="dxa"/>
            <w:vAlign w:val="bottom"/>
          </w:tcPr>
          <w:p>
            <w:pPr>
              <w:spacing w:after="0"/>
              <w:rPr>
                <w:sz w:val="15"/>
                <w:szCs w:val="15"/>
                <w:color w:val="auto"/>
              </w:rPr>
            </w:pPr>
          </w:p>
        </w:tc>
        <w:tc>
          <w:tcPr>
            <w:tcW w:w="900" w:type="dxa"/>
            <w:vAlign w:val="bottom"/>
            <w:tcBorders>
              <w:top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59,431</w:t>
            </w:r>
          </w:p>
        </w:tc>
      </w:tr>
      <w:tr>
        <w:trPr>
          <w:trHeight w:val="23"/>
        </w:trPr>
        <w:tc>
          <w:tcPr>
            <w:tcW w:w="4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2"/>
        </w:trPr>
        <w:tc>
          <w:tcPr>
            <w:tcW w:w="4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i w:val="1"/>
                <w:iCs w:val="1"/>
                <w:color w:val="auto"/>
              </w:rPr>
              <w:t>Of which classified within short-term marketable debt securities</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59,069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59,431</w:t>
            </w:r>
          </w:p>
        </w:tc>
      </w:tr>
      <w:tr>
        <w:trPr>
          <w:trHeight w:val="638"/>
        </w:trPr>
        <w:tc>
          <w:tcPr>
            <w:tcW w:w="41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1"/>
        </w:trPr>
        <w:tc>
          <w:tcPr>
            <w:tcW w:w="4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9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1"/>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59,166</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59,451</w:t>
            </w:r>
          </w:p>
        </w:tc>
      </w:tr>
      <w:tr>
        <w:trPr>
          <w:trHeight w:val="32"/>
        </w:trPr>
        <w:tc>
          <w:tcPr>
            <w:tcW w:w="4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bottom w:val="single" w:sz="8" w:color="CCEEFF"/>
            </w:tcBorders>
            <w:gridSpan w:val="2"/>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59,166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9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285</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59,451</w:t>
            </w:r>
          </w:p>
        </w:tc>
      </w:tr>
      <w:tr>
        <w:trPr>
          <w:trHeight w:val="167"/>
        </w:trPr>
        <w:tc>
          <w:tcPr>
            <w:tcW w:w="4100" w:type="dxa"/>
            <w:vAlign w:val="bottom"/>
            <w:tcBorders>
              <w:top w:val="single" w:sz="8" w:color="CCEEFF"/>
            </w:tcBorders>
          </w:tcPr>
          <w:p>
            <w:pPr>
              <w:ind w:left="200"/>
              <w:spacing w:after="0"/>
              <w:rPr>
                <w:sz w:val="20"/>
                <w:szCs w:val="20"/>
                <w:color w:val="auto"/>
              </w:rPr>
            </w:pPr>
            <w:r>
              <w:rPr>
                <w:rFonts w:ascii="Times New Roman" w:cs="Times New Roman" w:eastAsia="Times New Roman" w:hAnsi="Times New Roman"/>
                <w:sz w:val="14"/>
                <w:szCs w:val="14"/>
                <w:i w:val="1"/>
                <w:iCs w:val="1"/>
                <w:color w:val="auto"/>
              </w:rPr>
              <w:t>Of which classified within short-term marketable debt securities</w:t>
            </w:r>
          </w:p>
        </w:tc>
        <w:tc>
          <w:tcPr>
            <w:tcW w:w="8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59,166</w:t>
            </w:r>
          </w:p>
        </w:tc>
        <w:tc>
          <w:tcPr>
            <w:tcW w:w="10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59,451</w:t>
            </w:r>
          </w:p>
        </w:tc>
      </w:tr>
    </w:tbl>
    <w:p>
      <w:pPr>
        <w:spacing w:after="0" w:line="245"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The following table presents the changes in fair values of the Company’s short-term marketable debt securities, classified as Level 2 financial assets, and recognized in “Accumulated other comprehensive income”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4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0" w:type="dxa"/>
            <w:vAlign w:val="bottom"/>
          </w:tcPr>
          <w:p>
            <w:pPr>
              <w:spacing w:after="0"/>
              <w:rPr>
                <w:sz w:val="1"/>
                <w:szCs w:val="1"/>
                <w:color w:val="auto"/>
              </w:rPr>
            </w:pPr>
          </w:p>
        </w:tc>
      </w:tr>
      <w:tr>
        <w:trPr>
          <w:trHeight w:val="170"/>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560" w:type="dxa"/>
            <w:vAlign w:val="bottom"/>
            <w:vMerge w:val="continue"/>
          </w:tcPr>
          <w:p>
            <w:pPr>
              <w:spacing w:after="0"/>
              <w:rPr>
                <w:sz w:val="16"/>
                <w:szCs w:val="16"/>
                <w:color w:val="auto"/>
              </w:rPr>
            </w:pPr>
          </w:p>
        </w:tc>
        <w:tc>
          <w:tcPr>
            <w:tcW w:w="820" w:type="dxa"/>
            <w:vAlign w:val="bottom"/>
            <w:gridSpan w:val="2"/>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2"/>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5,407</w:t>
            </w: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0" w:type="dxa"/>
            <w:vAlign w:val="bottom"/>
          </w:tcPr>
          <w:p>
            <w:pPr>
              <w:spacing w:after="0"/>
              <w:rPr>
                <w:sz w:val="1"/>
                <w:szCs w:val="1"/>
                <w:color w:val="auto"/>
              </w:rPr>
            </w:pPr>
          </w:p>
        </w:tc>
      </w:tr>
      <w:tr>
        <w:trPr>
          <w:trHeight w:val="19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(5,669)</w:t>
            </w:r>
          </w:p>
        </w:tc>
        <w:tc>
          <w:tcPr>
            <w:tcW w:w="0" w:type="dxa"/>
            <w:vAlign w:val="bottom"/>
          </w:tcPr>
          <w:p>
            <w:pPr>
              <w:spacing w:after="0"/>
              <w:rPr>
                <w:sz w:val="1"/>
                <w:szCs w:val="1"/>
                <w:color w:val="auto"/>
              </w:rPr>
            </w:pPr>
          </w:p>
        </w:tc>
      </w:tr>
      <w:tr>
        <w:trPr>
          <w:trHeight w:val="247"/>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820" w:type="dxa"/>
            <w:vAlign w:val="bottom"/>
            <w:tcBorders>
              <w:bottom w:val="single" w:sz="8" w:color="CCEEFF"/>
            </w:tcBorders>
            <w:gridSpan w:val="2"/>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362</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2,651</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As of March 31, 2026, the Company’s marketable debt securities maturities are all due within one year.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6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0"/>
        </w:trPr>
        <w:tc>
          <w:tcPr>
            <w:tcW w:w="6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7 — Prepaid Expenses</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Non-clinical research and clinical development services</w:t>
            </w:r>
          </w:p>
        </w:tc>
        <w:tc>
          <w:tcPr>
            <w:tcW w:w="820" w:type="dxa"/>
            <w:vAlign w:val="bottom"/>
            <w:tcBorders>
              <w:bottom w:val="single" w:sz="8" w:color="CCEEFF"/>
            </w:tcBorders>
            <w:gridSpan w:val="2"/>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16,332</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17,362</w:t>
            </w:r>
          </w:p>
        </w:tc>
        <w:tc>
          <w:tcPr>
            <w:tcW w:w="0" w:type="dxa"/>
            <w:vAlign w:val="bottom"/>
          </w:tcPr>
          <w:p>
            <w:pPr>
              <w:spacing w:after="0"/>
              <w:rPr>
                <w:sz w:val="1"/>
                <w:szCs w:val="1"/>
                <w:color w:val="auto"/>
              </w:rPr>
            </w:pPr>
          </w:p>
        </w:tc>
      </w:tr>
      <w:tr>
        <w:trPr>
          <w:trHeight w:val="191"/>
        </w:trPr>
        <w:tc>
          <w:tcPr>
            <w:tcW w:w="65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Supply and manufacturing services</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3,494</w:t>
            </w:r>
          </w:p>
        </w:tc>
        <w:tc>
          <w:tcPr>
            <w:tcW w:w="0" w:type="dxa"/>
            <w:vAlign w:val="bottom"/>
          </w:tcPr>
          <w:p>
            <w:pPr>
              <w:spacing w:after="0"/>
              <w:rPr>
                <w:sz w:val="1"/>
                <w:szCs w:val="1"/>
                <w:color w:val="auto"/>
              </w:rPr>
            </w:pPr>
          </w:p>
        </w:tc>
      </w:tr>
      <w:tr>
        <w:trPr>
          <w:trHeight w:val="32"/>
        </w:trPr>
        <w:tc>
          <w:tcPr>
            <w:tcW w:w="6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Insurances</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886</w:t>
            </w:r>
          </w:p>
        </w:tc>
        <w:tc>
          <w:tcPr>
            <w:tcW w:w="0" w:type="dxa"/>
            <w:vAlign w:val="bottom"/>
          </w:tcPr>
          <w:p>
            <w:pPr>
              <w:spacing w:after="0"/>
              <w:rPr>
                <w:sz w:val="1"/>
                <w:szCs w:val="1"/>
                <w:color w:val="auto"/>
              </w:rPr>
            </w:pPr>
          </w:p>
        </w:tc>
      </w:tr>
      <w:tr>
        <w:trPr>
          <w:trHeight w:val="191"/>
        </w:trPr>
        <w:tc>
          <w:tcPr>
            <w:tcW w:w="65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 prepayments</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1,115</w:t>
            </w:r>
          </w:p>
        </w:tc>
        <w:tc>
          <w:tcPr>
            <w:tcW w:w="0" w:type="dxa"/>
            <w:vAlign w:val="bottom"/>
          </w:tcPr>
          <w:p>
            <w:pPr>
              <w:spacing w:after="0"/>
              <w:rPr>
                <w:sz w:val="1"/>
                <w:szCs w:val="1"/>
                <w:color w:val="auto"/>
              </w:rPr>
            </w:pPr>
          </w:p>
        </w:tc>
      </w:tr>
      <w:tr>
        <w:trPr>
          <w:trHeight w:val="32"/>
        </w:trPr>
        <w:tc>
          <w:tcPr>
            <w:tcW w:w="6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tcBorders>
              <w:bottom w:val="single" w:sz="8" w:color="CCEEFF"/>
            </w:tcBorders>
            <w:gridSpan w:val="2"/>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32,957</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22,857</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8 — Accrued Expenses and Other Current Liabilities</w:t>
            </w: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5"/>
        </w:trPr>
        <w:tc>
          <w:tcPr>
            <w:tcW w:w="6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Supply and manufacturing services</w:t>
            </w:r>
          </w:p>
        </w:tc>
        <w:tc>
          <w:tcPr>
            <w:tcW w:w="820" w:type="dxa"/>
            <w:vAlign w:val="bottom"/>
            <w:tcBorders>
              <w:bottom w:val="single" w:sz="8" w:color="CCEEFF"/>
            </w:tcBorders>
            <w:gridSpan w:val="2"/>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9,180</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6,618</w:t>
            </w:r>
          </w:p>
        </w:tc>
        <w:tc>
          <w:tcPr>
            <w:tcW w:w="0" w:type="dxa"/>
            <w:vAlign w:val="bottom"/>
          </w:tcPr>
          <w:p>
            <w:pPr>
              <w:spacing w:after="0"/>
              <w:rPr>
                <w:sz w:val="1"/>
                <w:szCs w:val="1"/>
                <w:color w:val="auto"/>
              </w:rPr>
            </w:pPr>
          </w:p>
        </w:tc>
      </w:tr>
      <w:tr>
        <w:trPr>
          <w:trHeight w:val="201"/>
        </w:trPr>
        <w:tc>
          <w:tcPr>
            <w:tcW w:w="6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Research and development services and license fees</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4,225</w:t>
            </w:r>
          </w:p>
        </w:tc>
        <w:tc>
          <w:tcPr>
            <w:tcW w:w="0" w:type="dxa"/>
            <w:vAlign w:val="bottom"/>
          </w:tcPr>
          <w:p>
            <w:pPr>
              <w:spacing w:after="0"/>
              <w:rPr>
                <w:sz w:val="1"/>
                <w:szCs w:val="1"/>
                <w:color w:val="auto"/>
              </w:rPr>
            </w:pPr>
          </w:p>
        </w:tc>
      </w:tr>
      <w:tr>
        <w:trPr>
          <w:trHeight w:val="22"/>
        </w:trPr>
        <w:tc>
          <w:tcPr>
            <w:tcW w:w="6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Bonuses and related employee compensation expenses</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w:t>
            </w:r>
          </w:p>
        </w:tc>
        <w:tc>
          <w:tcPr>
            <w:tcW w:w="0" w:type="dxa"/>
            <w:vAlign w:val="bottom"/>
          </w:tcPr>
          <w:p>
            <w:pPr>
              <w:spacing w:after="0"/>
              <w:rPr>
                <w:sz w:val="1"/>
                <w:szCs w:val="1"/>
                <w:color w:val="auto"/>
              </w:rPr>
            </w:pPr>
          </w:p>
        </w:tc>
      </w:tr>
      <w:tr>
        <w:trPr>
          <w:trHeight w:val="201"/>
        </w:trPr>
        <w:tc>
          <w:tcPr>
            <w:tcW w:w="6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Tax liabilities</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0" w:type="dxa"/>
            <w:vAlign w:val="bottom"/>
          </w:tcPr>
          <w:p>
            <w:pPr>
              <w:spacing w:after="0"/>
              <w:rPr>
                <w:sz w:val="1"/>
                <w:szCs w:val="1"/>
                <w:color w:val="auto"/>
              </w:rPr>
            </w:pPr>
          </w:p>
        </w:tc>
      </w:tr>
      <w:tr>
        <w:trPr>
          <w:trHeight w:val="22"/>
        </w:trPr>
        <w:tc>
          <w:tcPr>
            <w:tcW w:w="6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Consultant and other fees</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181"/>
        </w:trPr>
        <w:tc>
          <w:tcPr>
            <w:tcW w:w="6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5"/>
                <w:szCs w:val="15"/>
                <w:color w:val="auto"/>
              </w:rPr>
            </w:pPr>
          </w:p>
        </w:tc>
        <w:tc>
          <w:tcPr>
            <w:tcW w:w="740" w:type="dxa"/>
            <w:vAlign w:val="bottom"/>
            <w:tcBorders>
              <w:top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21,814</w:t>
            </w:r>
          </w:p>
        </w:tc>
        <w:tc>
          <w:tcPr>
            <w:tcW w:w="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Borders>
              <w:top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14,691</w:t>
            </w:r>
          </w:p>
        </w:tc>
        <w:tc>
          <w:tcPr>
            <w:tcW w:w="0" w:type="dxa"/>
            <w:vAlign w:val="bottom"/>
          </w:tcPr>
          <w:p>
            <w:pPr>
              <w:spacing w:after="0"/>
              <w:rPr>
                <w:sz w:val="1"/>
                <w:szCs w:val="1"/>
                <w:color w:val="auto"/>
              </w:rPr>
            </w:pPr>
          </w:p>
        </w:tc>
      </w:tr>
      <w:tr>
        <w:trPr>
          <w:trHeight w:val="32"/>
        </w:trPr>
        <w:tc>
          <w:tcPr>
            <w:tcW w:w="6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Leases</w:t>
      </w:r>
    </w:p>
    <w:p>
      <w:pPr>
        <w:spacing w:after="0" w:line="181"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In August 2021, the Company entered into an open-ended office lease agreement, effective November 1, 2021, to lease approximately 2,300 square feet of space on the last two floors of the building located at Dorfstrasse 29, 6300 Zug, Switzerland. In March 2026, the contract was reassessed, leading to a new estimated remaining effective duration of the lease period of 3 years, with expected expiration in December 2028.</w:t>
      </w:r>
    </w:p>
    <w:p>
      <w:pPr>
        <w:spacing w:after="0" w:line="136"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On October 9, 2023, the Company entered into an office lease agreement, effective as of October 9, 2023, to lease approximately 3,900 square feet of office space on the fifth floor of the building located at Rua Manuel Pinto de Azevedo 860, 4150-335, Porto, Portugal. This lease has a 3-year initial term, with two extendable periods of 3 years each. The Company expects to exercise the first available option and extend this lease through October 2029.</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On October 13, 2023, the Company entered into an office lease agreement, effective as of October 16, 2023, to lease approximately 6,000 square feet of office space on the first floor of the building located at 95 Regent Street, CB2 1AW, Cambridge, England, United Kingdom. This lease has a 3-year term agreement and is set to expire in October 2026.</w:t>
      </w:r>
    </w:p>
    <w:p>
      <w:pPr>
        <w:spacing w:after="0" w:line="124"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On December 12, 2023, the Company entered into an open-ended office lease agreement, effective as of January 15, 2024, to lease approximately 1,700 square feet of additional office space at its existing corporate headquarters located at Dorfstrasse 29, 6300 Zug, Switzerland. In March 2026, the contract was reassessed, leading to a new estimated remaining effective duration of the lease period of 3 years, with expected expiration in December 2028.</w:t>
      </w:r>
    </w:p>
    <w:p>
      <w:pPr>
        <w:spacing w:after="0" w:line="136"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On August 14, 2024, the Company entered into an office lease agreement, effective as of September 8, 2024, to lease approximately 2,000 square feet of additional office space at its existing office located at Rua Manuel Pinto de Azevedo 860, 4150-335, Porto, Portugal. This lease has a 2-year initial term, with two extendable periods of 3 years each. The Company expects to exercise the first available option and extend this lease through October 2029.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weighted average remaining lease term and weighted average discount rate for the operating leases as of March 31, 2026 and December 31, 2025 were as follows:</w:t>
            </w:r>
          </w:p>
        </w:tc>
        <w:tc>
          <w:tcPr>
            <w:tcW w:w="1540" w:type="dxa"/>
            <w:vAlign w:val="bottom"/>
          </w:tcPr>
          <w:p>
            <w:pPr>
              <w:spacing w:after="0"/>
              <w:rPr>
                <w:sz w:val="16"/>
                <w:szCs w:val="16"/>
                <w:color w:val="auto"/>
              </w:rPr>
            </w:pPr>
          </w:p>
        </w:tc>
      </w:tr>
      <w:tr>
        <w:trPr>
          <w:trHeight w:val="382"/>
        </w:trPr>
        <w:tc>
          <w:tcPr>
            <w:tcW w:w="7000" w:type="dxa"/>
            <w:vAlign w:val="bottom"/>
          </w:tcPr>
          <w:p>
            <w:pPr>
              <w:spacing w:after="0"/>
              <w:rPr>
                <w:sz w:val="24"/>
                <w:szCs w:val="24"/>
                <w:color w:val="auto"/>
              </w:rPr>
            </w:pPr>
          </w:p>
        </w:tc>
        <w:tc>
          <w:tcPr>
            <w:tcW w:w="2740" w:type="dxa"/>
            <w:vAlign w:val="bottom"/>
            <w:gridSpan w:val="2"/>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5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2"/>
        </w:trPr>
        <w:tc>
          <w:tcPr>
            <w:tcW w:w="7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3"/>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 average remaining lease term</w:t>
            </w:r>
          </w:p>
        </w:tc>
        <w:tc>
          <w:tcPr>
            <w:tcW w:w="116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28 months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months</w:t>
            </w:r>
          </w:p>
        </w:tc>
      </w:tr>
      <w:tr>
        <w:trPr>
          <w:trHeight w:val="201"/>
        </w:trPr>
        <w:tc>
          <w:tcPr>
            <w:tcW w:w="7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2740" w:type="dxa"/>
            <w:vAlign w:val="bottom"/>
            <w:gridSpan w:val="2"/>
          </w:tcPr>
          <w:p>
            <w:pPr>
              <w:jc w:val="right"/>
              <w:ind w:right="869"/>
              <w:spacing w:after="0"/>
              <w:rPr>
                <w:sz w:val="20"/>
                <w:szCs w:val="20"/>
                <w:color w:val="auto"/>
              </w:rPr>
            </w:pPr>
            <w:r>
              <w:rPr>
                <w:rFonts w:ascii="Times New Roman" w:cs="Times New Roman" w:eastAsia="Times New Roman" w:hAnsi="Times New Roman"/>
                <w:sz w:val="14"/>
                <w:szCs w:val="14"/>
                <w:color w:val="auto"/>
              </w:rPr>
              <w:t>6.4 %</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4.6 %</w:t>
            </w:r>
          </w:p>
        </w:tc>
      </w:tr>
      <w:tr>
        <w:trPr>
          <w:trHeight w:val="796"/>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The future minimum annual lease payments under these operating leases as of March 31, 2026 are as follows:</w:t>
            </w: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53"/>
        </w:trPr>
        <w:tc>
          <w:tcPr>
            <w:tcW w:w="70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2"/>
        </w:trPr>
        <w:tc>
          <w:tcPr>
            <w:tcW w:w="7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3"/>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 (remainder of the year)</w:t>
            </w:r>
          </w:p>
        </w:tc>
        <w:tc>
          <w:tcPr>
            <w:tcW w:w="2740" w:type="dxa"/>
            <w:vAlign w:val="bottom"/>
            <w:tcBorders>
              <w:bottom w:val="single" w:sz="8" w:color="CCEEFF"/>
            </w:tcBorders>
            <w:gridSpan w:val="2"/>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875</w:t>
            </w:r>
          </w:p>
        </w:tc>
      </w:tr>
      <w:tr>
        <w:trPr>
          <w:trHeight w:val="191"/>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487</w:t>
            </w:r>
          </w:p>
        </w:tc>
      </w:tr>
      <w:tr>
        <w:trPr>
          <w:trHeight w:val="32"/>
        </w:trPr>
        <w:tc>
          <w:tcPr>
            <w:tcW w:w="7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3"/>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16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458</w:t>
            </w:r>
          </w:p>
        </w:tc>
      </w:tr>
      <w:tr>
        <w:trPr>
          <w:trHeight w:val="191"/>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98</w:t>
            </w:r>
          </w:p>
        </w:tc>
      </w:tr>
      <w:tr>
        <w:trPr>
          <w:trHeight w:val="32"/>
        </w:trPr>
        <w:tc>
          <w:tcPr>
            <w:tcW w:w="7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3"/>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1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lease payments</w:t>
            </w:r>
          </w:p>
        </w:tc>
        <w:tc>
          <w:tcPr>
            <w:tcW w:w="116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1,918</w:t>
            </w:r>
          </w:p>
        </w:tc>
      </w:tr>
      <w:tr>
        <w:trPr>
          <w:trHeight w:val="32"/>
        </w:trPr>
        <w:tc>
          <w:tcPr>
            <w:tcW w:w="7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3"/>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11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(133)</w:t>
            </w:r>
          </w:p>
        </w:tc>
      </w:tr>
      <w:tr>
        <w:trPr>
          <w:trHeight w:val="181"/>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lease liability</w:t>
            </w:r>
          </w:p>
        </w:tc>
        <w:tc>
          <w:tcPr>
            <w:tcW w:w="116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1,785</w:t>
            </w:r>
          </w:p>
        </w:tc>
      </w:tr>
      <w:tr>
        <w:trPr>
          <w:trHeight w:val="32"/>
        </w:trPr>
        <w:tc>
          <w:tcPr>
            <w:tcW w:w="7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3"/>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 of lease liability</w:t>
            </w:r>
          </w:p>
        </w:tc>
        <w:tc>
          <w:tcPr>
            <w:tcW w:w="11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(920)</w:t>
            </w:r>
          </w:p>
        </w:tc>
      </w:tr>
      <w:tr>
        <w:trPr>
          <w:trHeight w:val="181"/>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portion of operating lease liability</w:t>
            </w:r>
          </w:p>
        </w:tc>
        <w:tc>
          <w:tcPr>
            <w:tcW w:w="1160" w:type="dxa"/>
            <w:vAlign w:val="bottom"/>
          </w:tcPr>
          <w:p>
            <w:pPr>
              <w:spacing w:after="0"/>
              <w:rPr>
                <w:sz w:val="15"/>
                <w:szCs w:val="15"/>
                <w:color w:val="auto"/>
              </w:rPr>
            </w:pPr>
          </w:p>
        </w:tc>
        <w:tc>
          <w:tcPr>
            <w:tcW w:w="1580" w:type="dxa"/>
            <w:vAlign w:val="bottom"/>
            <w:tcBorders>
              <w:top w:val="single" w:sz="8" w:color="auto"/>
            </w:tcBorders>
          </w:tcPr>
          <w:p>
            <w:pPr>
              <w:jc w:val="right"/>
              <w:ind w:right="1409"/>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865</w:t>
            </w:r>
          </w:p>
        </w:tc>
      </w:tr>
      <w:tr>
        <w:trPr>
          <w:trHeight w:val="33"/>
        </w:trPr>
        <w:tc>
          <w:tcPr>
            <w:tcW w:w="7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cash outflows for amounts included in the measurement of lease liabilities were $381 thousand and $368 thousand for the three months ended March 31, 2026 and 2025,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recorded the following lease and variable lease expenses for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2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Three Months Ended March 31, 2026</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 2025</w:t>
            </w:r>
          </w:p>
        </w:tc>
      </w:tr>
      <w:tr>
        <w:trPr>
          <w:trHeight w:val="182"/>
        </w:trPr>
        <w:tc>
          <w:tcPr>
            <w:tcW w:w="6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expense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w:t>
            </w:r>
          </w:p>
        </w:tc>
      </w:tr>
      <w:tr>
        <w:trPr>
          <w:trHeight w:val="176"/>
        </w:trPr>
        <w:tc>
          <w:tcPr>
            <w:tcW w:w="6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Variable lease expense</w:t>
            </w:r>
          </w:p>
        </w:tc>
        <w:tc>
          <w:tcPr>
            <w:tcW w:w="12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26"/>
        </w:trPr>
        <w:tc>
          <w:tcPr>
            <w:tcW w:w="6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5"/>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lease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390</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375</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Employee Benefit Plans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operates a defined benefit pension plan in Switzerland (the “Plan”) and a defined contribution pension plan in the United Kingdom, in accordance with local regulations and practices.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2026, the Plan covers the Company’s employees in Switzerland with benefits in the event of death, disability, retirement, or termination of employment.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Components of Net Periodic Benefit Cost under the Plan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2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Three Months Ended March 31, 2026</w:t>
            </w:r>
          </w:p>
        </w:tc>
        <w:tc>
          <w:tcPr>
            <w:tcW w:w="2160" w:type="dxa"/>
            <w:vAlign w:val="bottom"/>
            <w:gridSpan w:val="2"/>
          </w:tcPr>
          <w:p>
            <w:pPr>
              <w:jc w:val="right"/>
              <w:ind w:right="9"/>
              <w:spacing w:after="0"/>
              <w:rPr>
                <w:sz w:val="20"/>
                <w:szCs w:val="20"/>
                <w:color w:val="auto"/>
              </w:rPr>
            </w:pPr>
            <w:r>
              <w:rPr>
                <w:rFonts w:ascii="Times New Roman" w:cs="Times New Roman" w:eastAsia="Times New Roman" w:hAnsi="Times New Roman"/>
                <w:sz w:val="13"/>
                <w:szCs w:val="13"/>
                <w:b w:val="1"/>
                <w:bCs w:val="1"/>
                <w:color w:val="auto"/>
                <w:w w:val="99"/>
              </w:rPr>
              <w:t>Three Months Ended March 31, 2025</w:t>
            </w:r>
          </w:p>
        </w:tc>
      </w:tr>
      <w:tr>
        <w:trPr>
          <w:trHeight w:val="203"/>
        </w:trPr>
        <w:tc>
          <w:tcPr>
            <w:tcW w:w="6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980" w:type="dxa"/>
            <w:vAlign w:val="bottom"/>
            <w:tcBorders>
              <w:top w:val="single" w:sz="8" w:color="auto"/>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76</w:t>
            </w:r>
          </w:p>
        </w:tc>
      </w:tr>
      <w:tr>
        <w:trPr>
          <w:trHeight w:val="191"/>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980" w:type="dxa"/>
            <w:vAlign w:val="bottom"/>
          </w:tcPr>
          <w:p>
            <w:pPr>
              <w:spacing w:after="0"/>
              <w:rPr>
                <w:sz w:val="16"/>
                <w:szCs w:val="16"/>
                <w:color w:val="auto"/>
              </w:rPr>
            </w:pPr>
          </w:p>
        </w:tc>
        <w:tc>
          <w:tcPr>
            <w:tcW w:w="1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w:t>
            </w:r>
          </w:p>
        </w:tc>
      </w:tr>
      <w:tr>
        <w:trPr>
          <w:trHeight w:val="32"/>
        </w:trPr>
        <w:tc>
          <w:tcPr>
            <w:tcW w:w="6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3"/>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9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w:t>
            </w:r>
          </w:p>
        </w:tc>
      </w:tr>
      <w:tr>
        <w:trPr>
          <w:trHeight w:val="191"/>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unrecognized loss</w:t>
            </w:r>
          </w:p>
        </w:tc>
        <w:tc>
          <w:tcPr>
            <w:tcW w:w="98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r>
      <w:tr>
        <w:trPr>
          <w:trHeight w:val="32"/>
        </w:trPr>
        <w:tc>
          <w:tcPr>
            <w:tcW w:w="6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3"/>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service credit recognized in current year</w:t>
            </w:r>
          </w:p>
        </w:tc>
        <w:tc>
          <w:tcPr>
            <w:tcW w:w="9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r>
      <w:tr>
        <w:trPr>
          <w:trHeight w:val="181"/>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periodic benefit cost</w:t>
            </w:r>
          </w:p>
        </w:tc>
        <w:tc>
          <w:tcPr>
            <w:tcW w:w="980" w:type="dxa"/>
            <w:vAlign w:val="bottom"/>
            <w:tcBorders>
              <w:top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117</w:t>
            </w:r>
          </w:p>
        </w:tc>
        <w:tc>
          <w:tcPr>
            <w:tcW w:w="80" w:type="dxa"/>
            <w:vAlign w:val="bottom"/>
          </w:tcPr>
          <w:p>
            <w:pPr>
              <w:spacing w:after="0"/>
              <w:rPr>
                <w:sz w:val="15"/>
                <w:szCs w:val="15"/>
                <w:color w:val="auto"/>
              </w:rPr>
            </w:pPr>
          </w:p>
        </w:tc>
        <w:tc>
          <w:tcPr>
            <w:tcW w:w="960" w:type="dxa"/>
            <w:vAlign w:val="bottom"/>
            <w:tcBorders>
              <w:top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66</w:t>
            </w:r>
          </w:p>
        </w:tc>
      </w:tr>
      <w:tr>
        <w:trPr>
          <w:trHeight w:val="32"/>
        </w:trPr>
        <w:tc>
          <w:tcPr>
            <w:tcW w:w="6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The components of net periodic benefit cost other than the service cost component are included in general and administrative expense in the Company's condensed consolidated statements of operations and comprehensive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Employer Contributions under the Plan</w:t>
      </w:r>
    </w:p>
    <w:p>
      <w:pPr>
        <w:spacing w:after="0" w:line="181"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2026, contributions of $106 thousand (CHF 83 thousand) were made to the Plan. The Company presently anticipates contributing an additional estimated amount of $319 thousand (CHF 250 thousand) to fund the Plan in 2026 for a total of $425 thousand (CHF 333 thousand).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Shareholders’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Class A Ordinary Shares</w:t>
      </w:r>
    </w:p>
    <w:p>
      <w:pPr>
        <w:spacing w:after="0" w:line="181"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As of March 31, 2026, there were 72,134,066 Class A Ordinary Shares issued and outstanding. The Company is authorized to issue up to 500,000,000 Class A Ordinary Shares, par value $0.0001 per share. Each Class A Ordinary Share entitles the holders thereof to one vote per share.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Class B Ordinary Shares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As of March 31, 2026, there were no Class B Ordinary Shares, par value $0.0001 per share (“Class B Ordinary Shares”), issued and outstanding. The Company is authorized to issue up to 50,000,000 Class B Ordinary Shares, with a par value $0.0001 per share. Each Class B Ordinary Share entitles the holders thereof to one vote per share, but carries no economic rights.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Class C Ordinary Shares</w:t>
      </w:r>
    </w:p>
    <w:p>
      <w:pPr>
        <w:spacing w:after="0" w:line="181"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As of March 31, 2026, there were no Class C Ordinary Shares issued and outstanding. The Company is authorized to issue up to 100,000,000 Class C Ordinary Shares, with a par value $0.0001 per share. Each Class C Ordinary Share entitles the holders thereof to one vote per share, but carries no economic rights.</w:t>
      </w:r>
    </w:p>
    <w:p>
      <w:pPr>
        <w:spacing w:after="0" w:line="124" w:lineRule="exact"/>
        <w:rPr>
          <w:sz w:val="20"/>
          <w:szCs w:val="20"/>
          <w:color w:val="auto"/>
        </w:rPr>
      </w:pPr>
    </w:p>
    <w:p>
      <w:pPr>
        <w:jc w:val="both"/>
        <w:ind w:firstLine="5"/>
        <w:spacing w:after="0" w:line="257" w:lineRule="auto"/>
        <w:rPr>
          <w:sz w:val="20"/>
          <w:szCs w:val="20"/>
          <w:color w:val="auto"/>
        </w:rPr>
      </w:pPr>
      <w:r>
        <w:rPr>
          <w:rFonts w:ascii="Times New Roman" w:cs="Times New Roman" w:eastAsia="Times New Roman" w:hAnsi="Times New Roman"/>
          <w:sz w:val="14"/>
          <w:szCs w:val="14"/>
          <w:color w:val="auto"/>
        </w:rPr>
        <w:t>At the closing of the Business Combination, MoonLake, MoonLake AG and each ML Party entered into a Restated and Amended Shareholders' Agreement (the “A&amp;R Shareholders' Agreement”). With the intent to approximate the rights, obligations and restrictions that an ML Party would have enjoyed if it were a holder of Class A Ordinary Shares, the A&amp;R Shareholders’ Agreement (i) imposed certain transfer and other restrictions on the ML Parties, (ii) provided for the waiver of certain statutory rights and (iii) established certain mechanics whereby MoonLake and each of the ML Parties were able to effect the conversion of MoonLake AG Common Shares and Class C Ordinary Shares into a number of Class A Ordinary Shares as defined by the Business Combination Agreement equal to 33.638698 (the “Exchange Ratio”). As of March 31, 2026, all issued and outstanding Class C Ordinary Shares had been converted into Class A Ordinary Shares pursuant to the A&amp;R Shareholders' Agreement, and the A&amp;R Shareholders' Agreement automatically terminated with the last conversion. The foregoing description of the A&amp;R Shareholders' Agreement is not complete and is qualified in its entirety by reference to, and should be read in connection with, the full text of the A&amp;R Shareholders' Agreement filed as an exhibit on the Company's Current Report on Form 8-K filed with the SEC on April 11,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Preference Shares</w:t>
      </w:r>
    </w:p>
    <w:p>
      <w:pPr>
        <w:spacing w:after="0" w:line="181"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As of March 31, 2026, there were no preference shares (“preference shares”) issued and outstanding. The Company is authorized to issue up to 5,000,000 preference shares, par value $0.0001 per share. Each preference share entitles the holders thereof to one vote per share, but carries no economic rights.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Offerings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At-the-Market Offering</w:t>
      </w:r>
    </w:p>
    <w:p>
      <w:pPr>
        <w:spacing w:after="0" w:line="181" w:lineRule="exact"/>
        <w:rPr>
          <w:sz w:val="20"/>
          <w:szCs w:val="20"/>
          <w:color w:val="auto"/>
        </w:rPr>
      </w:pPr>
    </w:p>
    <w:p>
      <w:pPr>
        <w:jc w:val="both"/>
        <w:ind w:firstLine="5"/>
        <w:spacing w:after="0" w:line="264" w:lineRule="auto"/>
        <w:rPr>
          <w:sz w:val="20"/>
          <w:szCs w:val="20"/>
          <w:color w:val="auto"/>
        </w:rPr>
      </w:pPr>
      <w:r>
        <w:rPr>
          <w:rFonts w:ascii="Times New Roman" w:cs="Times New Roman" w:eastAsia="Times New Roman" w:hAnsi="Times New Roman"/>
          <w:sz w:val="14"/>
          <w:szCs w:val="14"/>
          <w:color w:val="auto"/>
        </w:rPr>
        <w:t>On August 31, 2023, the Company entered into a Sales Agreement with Leerink Partners (the “Sales Agreement”) through which the Company could issue and sell up to $350.0 million of its Class A Ordinary Shares (the “ATM Shares”), through Leerink Partners as its sales agent. The ATM Shares to be sold under the Sales Agreement are issued and sold pursuant to the Company’s shelf registration statement on Form S-3 (File No. 333-274286), which was declared effective by the SEC on September 11, 2023, and a prospectus supplement thereto filed with the SEC on August 31, 2023. As of March 31, 2026, there was $258.8 million remaining for future sales under the Sales Agreement.</w:t>
      </w:r>
    </w:p>
    <w:p>
      <w:pPr>
        <w:spacing w:after="0" w:line="140"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2026, the Company sold 336,559 Class A Ordinary Shares under the Sales Agreement at a weighted average share price of $18.28, for aggregate net proceeds of approximately $6.0 million, after deducting sales agent's commissions and transaction costs. For the three months ended March 31, 2025, there were no sales under the Sales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Public Offering of Class A Ordinary Shares</w:t>
      </w:r>
    </w:p>
    <w:p>
      <w:pPr>
        <w:spacing w:after="0" w:line="181"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On November 5, 2025, the Company entered into an underwriting agreement with Leerink Partners as the underwriter, to issue and sell 7,142,857 Class A Ordinary Shares at a public offering price of $10.50 per share (the “2025 Offering”).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2025 Offering closed on November 6, 2025, and net proceeds were $72.4 million, after deducting the underwriting discounts, commissions, and offering expenses in the amount of $2.6 million.</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12 — Net Loss per Share</w:t>
            </w:r>
          </w:p>
        </w:tc>
        <w:tc>
          <w:tcPr>
            <w:tcW w:w="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340"/>
        </w:trPr>
        <w:tc>
          <w:tcPr>
            <w:tcW w:w="6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sets forth the net loss per share calculations for the three months ended March 31, 2026 and 2025:</w:t>
            </w: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76"/>
        </w:trPr>
        <w:tc>
          <w:tcPr>
            <w:tcW w:w="6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18"/>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 except share and per share data)</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3"/>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6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spacing w:after="0"/>
              <w:rPr>
                <w:sz w:val="16"/>
                <w:szCs w:val="16"/>
                <w:color w:val="auto"/>
              </w:rPr>
            </w:pPr>
          </w:p>
        </w:tc>
      </w:tr>
      <w:tr>
        <w:trPr>
          <w:trHeight w:val="191"/>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loss attributable to controlling interests shareholders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(69,707)</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(39,944)</w:t>
            </w:r>
          </w:p>
        </w:tc>
      </w:tr>
      <w:tr>
        <w:trPr>
          <w:trHeight w:val="32"/>
        </w:trPr>
        <w:tc>
          <w:tcPr>
            <w:tcW w:w="6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12"/>
        </w:trPr>
        <w:tc>
          <w:tcPr>
            <w:tcW w:w="6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r>
      <w:tr>
        <w:trPr>
          <w:trHeight w:val="191"/>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32"/>
        </w:trPr>
        <w:tc>
          <w:tcPr>
            <w:tcW w:w="6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3"/>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weighted average number of outstanding shares</w:t>
            </w:r>
          </w:p>
        </w:tc>
        <w:tc>
          <w:tcPr>
            <w:tcW w:w="1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71,273,650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63,233,788</w:t>
            </w:r>
          </w:p>
        </w:tc>
      </w:tr>
      <w:tr>
        <w:trPr>
          <w:trHeight w:val="192"/>
        </w:trPr>
        <w:tc>
          <w:tcPr>
            <w:tcW w:w="6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r>
      <w:tr>
        <w:trPr>
          <w:trHeight w:val="203"/>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loss per share – basic and 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(0.98)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(0.63)</w:t>
            </w:r>
          </w:p>
        </w:tc>
      </w:tr>
      <w:tr>
        <w:trPr>
          <w:trHeight w:val="21"/>
        </w:trPr>
        <w:tc>
          <w:tcPr>
            <w:tcW w:w="6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 xml:space="preserve">There were 3,022,610 and 1,380,339 common stock equivalents outstanding in the form of unexercised stock options and unvested restricted stock awards under the Equity Incentive Plan (as defined below in Note 13 — </w:t>
      </w:r>
      <w:r>
        <w:rPr>
          <w:rFonts w:ascii="Times New Roman" w:cs="Times New Roman" w:eastAsia="Times New Roman" w:hAnsi="Times New Roman"/>
          <w:sz w:val="14"/>
          <w:szCs w:val="14"/>
          <w:i w:val="1"/>
          <w:iCs w:val="1"/>
          <w:color w:val="auto"/>
        </w:rPr>
        <w:t>Share-Based Compensation</w:t>
      </w:r>
      <w:r>
        <w:rPr>
          <w:rFonts w:ascii="Times New Roman" w:cs="Times New Roman" w:eastAsia="Times New Roman" w:hAnsi="Times New Roman"/>
          <w:sz w:val="14"/>
          <w:szCs w:val="14"/>
          <w:color w:val="auto"/>
        </w:rPr>
        <w:t>) as of March 31, 2026 and 2025, respectively, that have been excluded from the calculation of net loss per share – diluted as their effect would be anti-dilutive.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Class C Ordinary Shares have been excluded from the weighted average number of outstanding shares used to calculate the net loss per share – basic and diluted as they do not carry economic rights.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Share-Based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2026, the Company had the following share-based compensation arrangements:</w:t>
      </w:r>
    </w:p>
    <w:p>
      <w:pPr>
        <w:spacing w:after="0" w:line="23" w:lineRule="exact"/>
        <w:rPr>
          <w:sz w:val="20"/>
          <w:szCs w:val="20"/>
          <w:color w:val="auto"/>
        </w:rPr>
      </w:pPr>
    </w:p>
    <w:p>
      <w:pPr>
        <w:ind w:left="500" w:hanging="240"/>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Employee Share Participation Plan (the “ESPP”) – created in July 2021 by MoonLake AG (fully vested as of January 2026);</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Employee Stock Option Plan (the “ESOP”) – created in July 2021 by MoonLake AG (fully vested as of January 2024);</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MoonLake Immunotherapeutics 2022 Equity Incentive Plan (the “Equity Incentive Plan”) – created in April 2022 by MoonLake.</w:t>
      </w:r>
    </w:p>
    <w:p>
      <w:pPr>
        <w:spacing w:after="0" w:line="164"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The purpose of the arrangements is to attract and retain the best available personnel and to provide participants with additional incentive to increase their efforts on behalf and in the best interest of the Company and its subsidiaries. The reference to “Common Shares” refers to shares in MoonLake AG.</w:t>
      </w:r>
    </w:p>
    <w:p>
      <w:pPr>
        <w:spacing w:after="0" w:line="124"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MoonLake AG's compensation plans were settled with its Common Shares and with a number of Class C Ordinary Shares of the Company, determined by multiplying the number of Common Shares by the Exchange Ratio. The owners of Common Shares had the right to exchange their Common Shares for a number of Class A Ordinary Shares derived using the Exchange Ratio. In the event MoonLake AG shareholders elected to exchange their Common Shares, such</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MoonLake AG shareholder would then forfeit a number of Class C Ordinary Shares equal to the number of Class A Ordinary Shares issued (refer to Note 11 — </w:t>
      </w:r>
      <w:r>
        <w:rPr>
          <w:rFonts w:ascii="Times New Roman" w:cs="Times New Roman" w:eastAsia="Times New Roman" w:hAnsi="Times New Roman"/>
          <w:sz w:val="14"/>
          <w:szCs w:val="14"/>
          <w:i w:val="1"/>
          <w:iCs w:val="1"/>
          <w:color w:val="auto"/>
        </w:rPr>
        <w:t>Shareholders’ Equity - Class 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Ordinary Shares</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Equity Incentive Plan is the only plan which remains active as of March 31, 2026, whereas the ESOP and the ESPP are fully vested as of January 2024, and January 2026, respectively.</w:t>
      </w:r>
    </w:p>
    <w:p>
      <w:pPr>
        <w:spacing w:after="0" w:line="179" w:lineRule="exact"/>
        <w:rPr>
          <w:sz w:val="20"/>
          <w:szCs w:val="20"/>
          <w:color w:val="auto"/>
        </w:rPr>
      </w:pPr>
    </w:p>
    <w:p>
      <w:pPr>
        <w:jc w:val="both"/>
        <w:ind w:firstLine="5"/>
        <w:spacing w:after="0" w:line="264" w:lineRule="auto"/>
        <w:rPr>
          <w:sz w:val="20"/>
          <w:szCs w:val="20"/>
          <w:color w:val="auto"/>
        </w:rPr>
      </w:pPr>
      <w:r>
        <w:rPr>
          <w:rFonts w:ascii="Times New Roman" w:cs="Times New Roman" w:eastAsia="Times New Roman" w:hAnsi="Times New Roman"/>
          <w:sz w:val="14"/>
          <w:szCs w:val="14"/>
          <w:color w:val="auto"/>
        </w:rPr>
        <w:t>For the three months ended March 31, 2026 and 2025, the Company has recognized an increase in equity in the condensed consolidated balance sheets due to share-based compensation expense in the condensed consolidated statements of operations and comprehensive loss of $13.4 million and $2.3 million for the three months ended March 31, 2025. During the three months ended March 31, 2026, the share-based compensation expense was mainly driven by the accelerated expense recognition due to a voluntary cancellation of 566,163 unvested stock option awards for no consideration, resulting in an expense of $11.0 million, with the remainder due to vesting of awards in compensation plans active during the period: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6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Compensation Plan</w:t>
            </w:r>
          </w:p>
        </w:tc>
        <w:tc>
          <w:tcPr>
            <w:tcW w:w="100" w:type="dxa"/>
            <w:vAlign w:val="bottom"/>
          </w:tcPr>
          <w:p>
            <w:pPr>
              <w:spacing w:after="0"/>
              <w:rPr>
                <w:sz w:val="17"/>
                <w:szCs w:val="17"/>
                <w:color w:val="auto"/>
              </w:rPr>
            </w:pP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14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91"/>
        </w:trPr>
        <w:tc>
          <w:tcPr>
            <w:tcW w:w="6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0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95"/>
        </w:trPr>
        <w:tc>
          <w:tcPr>
            <w:tcW w:w="6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6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ESPP</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191"/>
        </w:trPr>
        <w:tc>
          <w:tcPr>
            <w:tcW w:w="69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ESOP</w:t>
            </w:r>
          </w:p>
        </w:tc>
        <w:tc>
          <w:tcPr>
            <w:tcW w:w="100" w:type="dxa"/>
            <w:vAlign w:val="bottom"/>
          </w:tcPr>
          <w:p>
            <w:pPr>
              <w:spacing w:after="0"/>
              <w:rPr>
                <w:sz w:val="16"/>
                <w:szCs w:val="16"/>
                <w:color w:val="auto"/>
              </w:rPr>
            </w:pP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32"/>
        </w:trPr>
        <w:tc>
          <w:tcPr>
            <w:tcW w:w="6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Incentive Plan</w:t>
            </w:r>
          </w:p>
        </w:tc>
        <w:tc>
          <w:tcPr>
            <w:tcW w:w="10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13,210</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0" w:type="dxa"/>
            <w:vAlign w:val="bottom"/>
          </w:tcPr>
          <w:p>
            <w:pPr>
              <w:spacing w:after="0"/>
              <w:rPr>
                <w:sz w:val="1"/>
                <w:szCs w:val="1"/>
                <w:color w:val="auto"/>
              </w:rPr>
            </w:pPr>
          </w:p>
        </w:tc>
      </w:tr>
      <w:tr>
        <w:trPr>
          <w:trHeight w:val="181"/>
        </w:trPr>
        <w:tc>
          <w:tcPr>
            <w:tcW w:w="68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 share-based compensation expense</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13,355</w:t>
            </w:r>
          </w:p>
        </w:tc>
        <w:tc>
          <w:tcPr>
            <w:tcW w:w="80" w:type="dxa"/>
            <w:vAlign w:val="bottom"/>
          </w:tcPr>
          <w:p>
            <w:pPr>
              <w:spacing w:after="0"/>
              <w:rPr>
                <w:sz w:val="15"/>
                <w:szCs w:val="15"/>
                <w:color w:val="auto"/>
              </w:rPr>
            </w:pPr>
          </w:p>
        </w:tc>
        <w:tc>
          <w:tcPr>
            <w:tcW w:w="940" w:type="dxa"/>
            <w:vAlign w:val="bottom"/>
            <w:tcBorders>
              <w:top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2,290</w:t>
            </w:r>
          </w:p>
        </w:tc>
        <w:tc>
          <w:tcPr>
            <w:tcW w:w="0" w:type="dxa"/>
            <w:vAlign w:val="bottom"/>
          </w:tcPr>
          <w:p>
            <w:pPr>
              <w:spacing w:after="0"/>
              <w:rPr>
                <w:sz w:val="1"/>
                <w:szCs w:val="1"/>
                <w:color w:val="auto"/>
              </w:rPr>
            </w:pPr>
          </w:p>
        </w:tc>
      </w:tr>
      <w:tr>
        <w:trPr>
          <w:trHeight w:val="33"/>
        </w:trPr>
        <w:tc>
          <w:tcPr>
            <w:tcW w:w="6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i w:val="1"/>
                <w:iCs w:val="1"/>
                <w:color w:val="auto"/>
              </w:rPr>
              <w:t>Of which: included in research and development expense</w:t>
            </w:r>
          </w:p>
        </w:tc>
        <w:tc>
          <w:tcPr>
            <w:tcW w:w="10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6,807</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627</w:t>
            </w:r>
          </w:p>
        </w:tc>
        <w:tc>
          <w:tcPr>
            <w:tcW w:w="0" w:type="dxa"/>
            <w:vAlign w:val="bottom"/>
          </w:tcPr>
          <w:p>
            <w:pPr>
              <w:spacing w:after="0"/>
              <w:rPr>
                <w:sz w:val="1"/>
                <w:szCs w:val="1"/>
                <w:color w:val="auto"/>
              </w:rPr>
            </w:pPr>
          </w:p>
        </w:tc>
      </w:tr>
      <w:tr>
        <w:trPr>
          <w:trHeight w:val="191"/>
        </w:trPr>
        <w:tc>
          <w:tcPr>
            <w:tcW w:w="6900" w:type="dxa"/>
            <w:vAlign w:val="bottom"/>
            <w:gridSpan w:val="2"/>
          </w:tcPr>
          <w:p>
            <w:pPr>
              <w:ind w:left="100"/>
              <w:spacing w:after="0"/>
              <w:rPr>
                <w:sz w:val="20"/>
                <w:szCs w:val="20"/>
                <w:color w:val="auto"/>
              </w:rPr>
            </w:pPr>
            <w:r>
              <w:rPr>
                <w:rFonts w:ascii="Times New Roman" w:cs="Times New Roman" w:eastAsia="Times New Roman" w:hAnsi="Times New Roman"/>
                <w:sz w:val="14"/>
                <w:szCs w:val="14"/>
                <w:i w:val="1"/>
                <w:iCs w:val="1"/>
                <w:color w:val="auto"/>
              </w:rPr>
              <w:t>Of which: included in general and administrative expense</w:t>
            </w:r>
          </w:p>
        </w:tc>
        <w:tc>
          <w:tcPr>
            <w:tcW w:w="10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6,548</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1,663</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The Company expects that all future employee awards will be made under the Equity Incentive Plan. As of March 31, 2026, 1,044,534 Class A Ordinary Shares from the authorized pool of 4,353,948 Class A Ordinary Shares remain available for future grants, and 2,524,668 Class A Ordinary Shares are reserved for issuance upon exercise of stock options granted under the Equity Incentive Plan.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Share Participation Plan (ESPP) 2021-2026 - MoonLake AG</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ESPP grants vested 25% on each anniversary of the grant date. In the event of a termination of contractual relationship between the Company and the entitled employee, the awards could have been forfeited by MoonLake AG if certain conditions were met. The awards featured an accelerated vesting condition linked to a “Change of Control”, defined as any transfer of shares that resulted in the proposed acquirer holding more than 50% of the then issued share capital of MoonLake AG or the Company, as the case may be, where all the outstanding awards (whether currently outstanding or granted in the future) would have been fully vested.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ESPP</w:t>
            </w:r>
          </w:p>
        </w:tc>
        <w:tc>
          <w:tcPr>
            <w:tcW w:w="3320" w:type="dxa"/>
            <w:vAlign w:val="bottom"/>
            <w:gridSpan w:val="2"/>
          </w:tcPr>
          <w:p>
            <w:pPr>
              <w:ind w:left="216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2400" w:type="dxa"/>
            <w:vAlign w:val="bottom"/>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w w:val="97"/>
              </w:rPr>
              <w:t>Weighted-Average Grant Date Fair Value</w:t>
            </w:r>
          </w:p>
        </w:tc>
      </w:tr>
      <w:tr>
        <w:trPr>
          <w:trHeight w:val="26"/>
        </w:trPr>
        <w:tc>
          <w:tcPr>
            <w:tcW w:w="55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193"/>
        </w:trPr>
        <w:tc>
          <w:tcPr>
            <w:tcW w:w="5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Awards unvested as of January 1, 2026</w:t>
            </w:r>
          </w:p>
        </w:tc>
        <w:tc>
          <w:tcPr>
            <w:tcW w:w="3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25,902</w:t>
            </w:r>
          </w:p>
        </w:tc>
        <w:tc>
          <w:tcPr>
            <w:tcW w:w="10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91"/>
        </w:trPr>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Awards vested for the three months ended March 31, 2026</w:t>
            </w:r>
          </w:p>
        </w:tc>
        <w:tc>
          <w:tcPr>
            <w:tcW w:w="32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(25,902)</w:t>
            </w:r>
          </w:p>
        </w:tc>
        <w:tc>
          <w:tcPr>
            <w:tcW w:w="100" w:type="dxa"/>
            <w:vAlign w:val="bottom"/>
          </w:tcPr>
          <w:p>
            <w:pPr>
              <w:spacing w:after="0"/>
              <w:rPr>
                <w:sz w:val="16"/>
                <w:szCs w:val="16"/>
                <w:color w:val="auto"/>
              </w:rPr>
            </w:pPr>
          </w:p>
        </w:tc>
        <w:tc>
          <w:tcPr>
            <w:tcW w:w="24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10.00</w:t>
            </w:r>
          </w:p>
        </w:tc>
      </w:tr>
      <w:tr>
        <w:trPr>
          <w:trHeight w:val="32"/>
        </w:trPr>
        <w:tc>
          <w:tcPr>
            <w:tcW w:w="55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181"/>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Awards unvested as of March 31, 2026</w:t>
            </w:r>
          </w:p>
        </w:tc>
        <w:tc>
          <w:tcPr>
            <w:tcW w:w="3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556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Stock Option Plan (ESOP) 2021-2025 - MoonLake AG</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ESOP grants vested 25% on each anniversary of the grant date. In the event of a termination of the contractual relationship between the Company and the entitled employee, options could have been forfeited by MoonLake AG if certain conditions were met. The awards featured an accelerated vesting condition linked to a “Change of Control”, defined as any transfer of shares that resulted in the proposed acquirer holding more than 50% of the then issued share capital of MoonLake AG or the Company, as the case may be, where all the outstanding awards (whether currently outstanding or granted in the future) would have been fully vested.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MoonLake Immunotherapeutics 2022 Equity Incentive Plan</w:t>
      </w:r>
    </w:p>
    <w:p>
      <w:pPr>
        <w:spacing w:after="0" w:line="181"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On April 5, 2022 (the “Effective Date”), the Company created the Equity Incentive Plan to promote and closely align the interests of employees, officers, non-employee directors and other service providers of MoonLake Immunotherapeutics and its shareholders by providing share-based compensation and other performance-based compensation.</w:t>
      </w:r>
    </w:p>
    <w:p>
      <w:pPr>
        <w:spacing w:after="0" w:line="124"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The Equity Incentive Plan provides for the grant of options, stock appreciation rights, restricted stock units, restricted stock and other share-based awards and for incentive bonuses, which may be paid in cash, Common Shares or a combination thereof, as determined by the compensation committee of the board of directors or such other committee as designated by the board of directors to administer the Equity Incentive Plan. The Equity Incentive Plan shall remain available for the grant of awards until the 10th anniversary of the Effective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0" w:type="dxa"/>
            <w:vAlign w:val="bottom"/>
          </w:tcPr>
          <w:p>
            <w:pPr>
              <w:spacing w:after="0"/>
              <w:rPr>
                <w:sz w:val="1"/>
                <w:szCs w:val="1"/>
                <w:color w:val="auto"/>
              </w:rPr>
            </w:pPr>
          </w:p>
        </w:tc>
      </w:tr>
      <w:tr>
        <w:trPr>
          <w:trHeight w:val="159"/>
        </w:trPr>
        <w:tc>
          <w:tcPr>
            <w:tcW w:w="46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Equity Incentive Plan (Options)</w:t>
            </w:r>
          </w:p>
        </w:tc>
        <w:tc>
          <w:tcPr>
            <w:tcW w:w="1540" w:type="dxa"/>
            <w:vAlign w:val="bottom"/>
          </w:tcPr>
          <w:p>
            <w:pPr>
              <w:spacing w:after="0"/>
              <w:rPr>
                <w:sz w:val="13"/>
                <w:szCs w:val="13"/>
                <w:color w:val="auto"/>
              </w:rPr>
            </w:pP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Weighted-Average Exercise</w:t>
            </w:r>
          </w:p>
        </w:tc>
        <w:tc>
          <w:tcPr>
            <w:tcW w:w="180" w:type="dxa"/>
            <w:vAlign w:val="bottom"/>
          </w:tcPr>
          <w:p>
            <w:pPr>
              <w:spacing w:after="0"/>
              <w:rPr>
                <w:sz w:val="13"/>
                <w:szCs w:val="13"/>
                <w:color w:val="auto"/>
              </w:rPr>
            </w:pPr>
          </w:p>
        </w:tc>
        <w:tc>
          <w:tcPr>
            <w:tcW w:w="162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w w:val="97"/>
              </w:rPr>
              <w:t>Aggregate Intrinsic Value</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Remaining Contractual</w:t>
            </w:r>
          </w:p>
        </w:tc>
        <w:tc>
          <w:tcPr>
            <w:tcW w:w="0" w:type="dxa"/>
            <w:vAlign w:val="bottom"/>
          </w:tcPr>
          <w:p>
            <w:pPr>
              <w:spacing w:after="0"/>
              <w:rPr>
                <w:sz w:val="1"/>
                <w:szCs w:val="1"/>
                <w:color w:val="auto"/>
              </w:rPr>
            </w:pPr>
          </w:p>
        </w:tc>
      </w:tr>
      <w:tr>
        <w:trPr>
          <w:trHeight w:val="167"/>
        </w:trPr>
        <w:tc>
          <w:tcPr>
            <w:tcW w:w="4620" w:type="dxa"/>
            <w:vAlign w:val="bottom"/>
            <w:vMerge w:val="continue"/>
          </w:tcPr>
          <w:p>
            <w:pPr>
              <w:spacing w:after="0"/>
              <w:rPr>
                <w:sz w:val="14"/>
                <w:szCs w:val="14"/>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Number of Options</w:t>
            </w:r>
          </w:p>
        </w:tc>
        <w:tc>
          <w:tcPr>
            <w:tcW w:w="740" w:type="dxa"/>
            <w:vAlign w:val="bottom"/>
          </w:tcPr>
          <w:p>
            <w:pPr>
              <w:spacing w:after="0"/>
              <w:rPr>
                <w:sz w:val="14"/>
                <w:szCs w:val="1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80" w:type="dxa"/>
            <w:vAlign w:val="bottom"/>
          </w:tcPr>
          <w:p>
            <w:pPr>
              <w:spacing w:after="0"/>
              <w:rPr>
                <w:sz w:val="14"/>
                <w:szCs w:val="14"/>
                <w:color w:val="auto"/>
              </w:rPr>
            </w:pPr>
          </w:p>
        </w:tc>
        <w:tc>
          <w:tcPr>
            <w:tcW w:w="162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Term (in years)</w:t>
            </w: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Awards outstanding as of January 1, 2026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2,156,512</w:t>
            </w:r>
          </w:p>
        </w:tc>
        <w:tc>
          <w:tcPr>
            <w:tcW w:w="74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24.76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3,700</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8.52</w:t>
            </w:r>
          </w:p>
        </w:tc>
        <w:tc>
          <w:tcPr>
            <w:tcW w:w="0" w:type="dxa"/>
            <w:vAlign w:val="bottom"/>
          </w:tcPr>
          <w:p>
            <w:pPr>
              <w:spacing w:after="0"/>
              <w:rPr>
                <w:sz w:val="1"/>
                <w:szCs w:val="1"/>
                <w:color w:val="auto"/>
              </w:rPr>
            </w:pPr>
          </w:p>
        </w:tc>
      </w:tr>
      <w:tr>
        <w:trPr>
          <w:trHeight w:val="191"/>
        </w:trPr>
        <w:tc>
          <w:tcPr>
            <w:tcW w:w="4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Awards granted for the three months ended March 31, 2026</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1,059,118</w:t>
            </w:r>
          </w:p>
        </w:tc>
        <w:tc>
          <w:tcPr>
            <w:tcW w:w="740" w:type="dxa"/>
            <w:vAlign w:val="bottom"/>
          </w:tcPr>
          <w:p>
            <w:pPr>
              <w:jc w:val="right"/>
              <w:ind w:right="49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11.29</w:t>
            </w:r>
          </w:p>
        </w:tc>
        <w:tc>
          <w:tcPr>
            <w:tcW w:w="180" w:type="dxa"/>
            <w:vAlign w:val="bottom"/>
          </w:tcPr>
          <w:p>
            <w:pPr>
              <w:spacing w:after="0"/>
              <w:rPr>
                <w:sz w:val="16"/>
                <w:szCs w:val="16"/>
                <w:color w:val="auto"/>
              </w:rPr>
            </w:pPr>
          </w:p>
        </w:tc>
        <w:tc>
          <w:tcPr>
            <w:tcW w:w="162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n/a</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32"/>
        </w:trPr>
        <w:tc>
          <w:tcPr>
            <w:tcW w:w="4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Awards exercised for the three months ended March 31, 2026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(69,632)</w:t>
            </w:r>
          </w:p>
        </w:tc>
        <w:tc>
          <w:tcPr>
            <w:tcW w:w="74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2.43</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n/a</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1"/>
        </w:trPr>
        <w:tc>
          <w:tcPr>
            <w:tcW w:w="4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Awards cancelled or forfeited for the three months ended March 31, 2026</w:t>
            </w:r>
          </w:p>
        </w:tc>
        <w:tc>
          <w:tcPr>
            <w:tcW w:w="154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(621,330)</w:t>
            </w:r>
          </w:p>
        </w:tc>
        <w:tc>
          <w:tcPr>
            <w:tcW w:w="740" w:type="dxa"/>
            <w:vAlign w:val="bottom"/>
            <w:vMerge w:val="restart"/>
          </w:tcPr>
          <w:p>
            <w:pPr>
              <w:jc w:val="right"/>
              <w:ind w:right="49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44.75</w:t>
            </w:r>
          </w:p>
        </w:tc>
        <w:tc>
          <w:tcPr>
            <w:tcW w:w="180" w:type="dxa"/>
            <w:vAlign w:val="bottom"/>
          </w:tcPr>
          <w:p>
            <w:pPr>
              <w:spacing w:after="0"/>
              <w:rPr>
                <w:sz w:val="16"/>
                <w:szCs w:val="16"/>
                <w:color w:val="auto"/>
              </w:rPr>
            </w:pPr>
          </w:p>
        </w:tc>
        <w:tc>
          <w:tcPr>
            <w:tcW w:w="162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color w:val="auto"/>
              </w:rPr>
              <w:t>n/a</w:t>
            </w:r>
          </w:p>
        </w:tc>
        <w:tc>
          <w:tcPr>
            <w:tcW w:w="16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95"/>
        </w:trPr>
        <w:tc>
          <w:tcPr>
            <w:tcW w:w="462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6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Awards outstanding as of March 31, 2026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2,524,668</w:t>
            </w:r>
          </w:p>
        </w:tc>
        <w:tc>
          <w:tcPr>
            <w:tcW w:w="74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14.80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15,924</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8.81</w:t>
            </w:r>
          </w:p>
        </w:tc>
        <w:tc>
          <w:tcPr>
            <w:tcW w:w="0" w:type="dxa"/>
            <w:vAlign w:val="bottom"/>
          </w:tcPr>
          <w:p>
            <w:pPr>
              <w:spacing w:after="0"/>
              <w:rPr>
                <w:sz w:val="1"/>
                <w:szCs w:val="1"/>
                <w:color w:val="auto"/>
              </w:rPr>
            </w:pPr>
          </w:p>
        </w:tc>
      </w:tr>
      <w:tr>
        <w:trPr>
          <w:trHeight w:val="191"/>
        </w:trPr>
        <w:tc>
          <w:tcPr>
            <w:tcW w:w="4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Awards exercisable as of March 31, 2026</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506,780</w:t>
            </w:r>
          </w:p>
        </w:tc>
        <w:tc>
          <w:tcPr>
            <w:tcW w:w="74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14.98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4,583</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5.51</w:t>
            </w:r>
          </w:p>
        </w:tc>
        <w:tc>
          <w:tcPr>
            <w:tcW w:w="0" w:type="dxa"/>
            <w:vAlign w:val="bottom"/>
          </w:tcPr>
          <w:p>
            <w:pPr>
              <w:spacing w:after="0"/>
              <w:rPr>
                <w:sz w:val="1"/>
                <w:szCs w:val="1"/>
                <w:color w:val="auto"/>
              </w:rPr>
            </w:pPr>
          </w:p>
        </w:tc>
      </w:tr>
      <w:tr>
        <w:trPr>
          <w:trHeight w:val="33"/>
        </w:trPr>
        <w:tc>
          <w:tcPr>
            <w:tcW w:w="4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aggregate intrinsic value represents the difference between the exercise price and the selling price received by option holders upon the exercise of stock options during the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total intrinsic value of options exercised was $1.1 million for the three months ended March 31, 2026. No options were exercised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firstLine="5"/>
        <w:spacing w:after="0" w:line="287" w:lineRule="auto"/>
        <w:rPr>
          <w:sz w:val="20"/>
          <w:szCs w:val="20"/>
          <w:color w:val="auto"/>
        </w:rPr>
      </w:pPr>
      <w:r>
        <w:rPr>
          <w:rFonts w:ascii="Times New Roman" w:cs="Times New Roman" w:eastAsia="Times New Roman" w:hAnsi="Times New Roman"/>
          <w:sz w:val="14"/>
          <w:szCs w:val="14"/>
          <w:color w:val="auto"/>
        </w:rPr>
        <w:t>As of March 31, 2026, the Company had $17.7 million of total unrecognized compensation expense related to options under the Equity Incentive Plan that will be recognized over the weighted average period of 2.88 years.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assumptions that the Company used to determine the grant-date fair value of options granted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33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r>
      <w:tr>
        <w:trPr>
          <w:trHeight w:val="32"/>
        </w:trPr>
        <w:tc>
          <w:tcPr>
            <w:tcW w:w="56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191"/>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fair value of the option on the grant date using Black-Scholes model ($)</w:t>
            </w:r>
          </w:p>
        </w:tc>
        <w:tc>
          <w:tcPr>
            <w:tcW w:w="3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7.69</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w:t>
            </w:r>
          </w:p>
        </w:tc>
      </w:tr>
      <w:tr>
        <w:trPr>
          <w:trHeight w:val="187"/>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price ($)</w:t>
            </w:r>
          </w:p>
        </w:tc>
        <w:tc>
          <w:tcPr>
            <w:tcW w:w="33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11.29</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43.11</w:t>
            </w:r>
          </w:p>
        </w:tc>
      </w:tr>
      <w:tr>
        <w:trPr>
          <w:trHeight w:val="194"/>
        </w:trPr>
        <w:tc>
          <w:tcPr>
            <w:tcW w:w="560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4"/>
                <w:szCs w:val="14"/>
                <w:color w:val="auto"/>
              </w:rPr>
              <w:t xml:space="preserve">Expected term of the award on the grant date (years) </w:t>
            </w:r>
            <w:r>
              <w:rPr>
                <w:rFonts w:ascii="Times New Roman" w:cs="Times New Roman" w:eastAsia="Times New Roman" w:hAnsi="Times New Roman"/>
                <w:sz w:val="18"/>
                <w:szCs w:val="18"/>
                <w:color w:val="auto"/>
                <w:vertAlign w:val="superscript"/>
              </w:rPr>
              <w:t>(1)</w:t>
            </w:r>
          </w:p>
        </w:tc>
        <w:tc>
          <w:tcPr>
            <w:tcW w:w="3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6</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1"/>
        </w:trPr>
        <w:tc>
          <w:tcPr>
            <w:tcW w:w="5600" w:type="dxa"/>
            <w:vAlign w:val="bottom"/>
          </w:tcPr>
          <w:p>
            <w:pPr>
              <w:ind w:left="20"/>
              <w:spacing w:after="0" w:line="191" w:lineRule="exact"/>
              <w:rPr>
                <w:sz w:val="20"/>
                <w:szCs w:val="20"/>
                <w:color w:val="auto"/>
              </w:rPr>
            </w:pPr>
            <w:r>
              <w:rPr>
                <w:rFonts w:ascii="Times New Roman" w:cs="Times New Roman" w:eastAsia="Times New Roman" w:hAnsi="Times New Roman"/>
                <w:sz w:val="14"/>
                <w:szCs w:val="14"/>
                <w:color w:val="auto"/>
              </w:rPr>
              <w:t xml:space="preserve">Expected volatility of the share price </w:t>
            </w:r>
            <w:r>
              <w:rPr>
                <w:rFonts w:ascii="Times New Roman" w:cs="Times New Roman" w:eastAsia="Times New Roman" w:hAnsi="Times New Roman"/>
                <w:sz w:val="18"/>
                <w:szCs w:val="18"/>
                <w:color w:val="auto"/>
                <w:vertAlign w:val="superscript"/>
              </w:rPr>
              <w:t>(2)</w:t>
            </w:r>
          </w:p>
        </w:tc>
        <w:tc>
          <w:tcPr>
            <w:tcW w:w="33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75 %</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r>
      <w:tr>
        <w:trPr>
          <w:trHeight w:val="191"/>
        </w:trPr>
        <w:tc>
          <w:tcPr>
            <w:tcW w:w="560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4"/>
                <w:szCs w:val="14"/>
                <w:color w:val="auto"/>
              </w:rPr>
              <w:t xml:space="preserve">Risk-free interest rate </w:t>
            </w:r>
            <w:r>
              <w:rPr>
                <w:rFonts w:ascii="Times New Roman" w:cs="Times New Roman" w:eastAsia="Times New Roman" w:hAnsi="Times New Roman"/>
                <w:sz w:val="18"/>
                <w:szCs w:val="18"/>
                <w:color w:val="auto"/>
                <w:vertAlign w:val="superscript"/>
              </w:rPr>
              <w:t>(3)</w:t>
            </w:r>
          </w:p>
        </w:tc>
        <w:tc>
          <w:tcPr>
            <w:tcW w:w="3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3.7 %</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r>
      <w:tr>
        <w:trPr>
          <w:trHeight w:val="184"/>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 rate</w:t>
            </w:r>
          </w:p>
        </w:tc>
        <w:tc>
          <w:tcPr>
            <w:tcW w:w="33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 %</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48195" cy="283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283210"/>
                    </a:xfrm>
                    <a:prstGeom prst="rect">
                      <a:avLst/>
                    </a:prstGeom>
                    <a:noFill/>
                  </pic:spPr>
                </pic:pic>
              </a:graphicData>
            </a:graphic>
          </wp:anchor>
        </w:drawing>
      </w:r>
    </w:p>
    <w:p>
      <w:pPr>
        <w:spacing w:after="0" w:line="2" w:lineRule="exact"/>
        <w:rPr>
          <w:sz w:val="20"/>
          <w:szCs w:val="20"/>
          <w:color w:val="auto"/>
        </w:rPr>
      </w:pPr>
    </w:p>
    <w:p>
      <w:pPr>
        <w:ind w:left="120" w:hanging="96"/>
        <w:spacing w:after="0"/>
        <w:tabs>
          <w:tab w:leader="none" w:pos="120" w:val="left"/>
        </w:tabs>
        <w:numPr>
          <w:ilvl w:val="0"/>
          <w:numId w:val="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The expected term represents the period that share-based awards are expected to be outstanding.</w:t>
      </w:r>
    </w:p>
    <w:p>
      <w:pPr>
        <w:spacing w:after="0" w:line="1" w:lineRule="exact"/>
        <w:rPr>
          <w:rFonts w:ascii="Times New Roman" w:cs="Times New Roman" w:eastAsia="Times New Roman" w:hAnsi="Times New Roman"/>
          <w:sz w:val="12"/>
          <w:szCs w:val="12"/>
          <w:color w:val="auto"/>
          <w:vertAlign w:val="superscript"/>
        </w:rPr>
      </w:pPr>
    </w:p>
    <w:p>
      <w:pPr>
        <w:ind w:left="120" w:hanging="96"/>
        <w:spacing w:after="0"/>
        <w:tabs>
          <w:tab w:leader="none" w:pos="120" w:val="left"/>
        </w:tabs>
        <w:numPr>
          <w:ilvl w:val="0"/>
          <w:numId w:val="6"/>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The expected volatility was derived from the historical stock volatilities of comparable peer public companies within the Company’s industry.</w:t>
      </w:r>
    </w:p>
    <w:p>
      <w:pPr>
        <w:spacing w:after="0" w:line="8" w:lineRule="exact"/>
        <w:rPr>
          <w:rFonts w:ascii="Times New Roman" w:cs="Times New Roman" w:eastAsia="Times New Roman" w:hAnsi="Times New Roman"/>
          <w:sz w:val="7"/>
          <w:szCs w:val="7"/>
          <w:color w:val="auto"/>
        </w:rPr>
      </w:pPr>
    </w:p>
    <w:p>
      <w:pPr>
        <w:ind w:left="120" w:hanging="96"/>
        <w:spacing w:after="0"/>
        <w:tabs>
          <w:tab w:leader="none" w:pos="120" w:val="left"/>
        </w:tabs>
        <w:numPr>
          <w:ilvl w:val="0"/>
          <w:numId w:val="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The risk-free interest rate is based on the U.S. Treasury yield curve in effect at the measurement date with maturities approximately equal to the expected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4819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Equity Incentive Plan (Restricted Stock Awards)</w:t>
            </w:r>
          </w:p>
        </w:tc>
        <w:tc>
          <w:tcPr>
            <w:tcW w:w="3320" w:type="dxa"/>
            <w:vAlign w:val="bottom"/>
            <w:gridSpan w:val="2"/>
          </w:tcPr>
          <w:p>
            <w:pPr>
              <w:ind w:left="216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2420" w:type="dxa"/>
            <w:vAlign w:val="bottom"/>
            <w:gridSpan w:val="2"/>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w w:val="98"/>
              </w:rPr>
              <w:t>Weighted-Average Grant Date Fair Value</w:t>
            </w:r>
          </w:p>
        </w:tc>
      </w:tr>
      <w:tr>
        <w:trPr>
          <w:trHeight w:val="26"/>
        </w:trPr>
        <w:tc>
          <w:tcPr>
            <w:tcW w:w="55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Awards unvested as of January 1, 2026</w:t>
            </w:r>
          </w:p>
        </w:tc>
        <w:tc>
          <w:tcPr>
            <w:tcW w:w="3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191,526</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41.77</w:t>
            </w:r>
          </w:p>
        </w:tc>
      </w:tr>
      <w:tr>
        <w:trPr>
          <w:trHeight w:val="191"/>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 granted for the three months ended March 31, 2026</w:t>
            </w:r>
          </w:p>
        </w:tc>
        <w:tc>
          <w:tcPr>
            <w:tcW w:w="32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354,296</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w:t>
            </w:r>
          </w:p>
        </w:tc>
      </w:tr>
      <w:tr>
        <w:trPr>
          <w:trHeight w:val="32"/>
        </w:trPr>
        <w:tc>
          <w:tcPr>
            <w:tcW w:w="55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 vested for the three months ended March 31, 2026</w:t>
            </w:r>
          </w:p>
        </w:tc>
        <w:tc>
          <w:tcPr>
            <w:tcW w:w="3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(47,880)</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41.77</w:t>
            </w:r>
          </w:p>
        </w:tc>
      </w:tr>
      <w:tr>
        <w:trPr>
          <w:trHeight w:val="181"/>
        </w:trPr>
        <w:tc>
          <w:tcPr>
            <w:tcW w:w="5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Awards unvested as of March 31, 2026</w:t>
            </w:r>
          </w:p>
        </w:tc>
        <w:tc>
          <w:tcPr>
            <w:tcW w:w="3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497,942</w:t>
            </w:r>
          </w:p>
        </w:tc>
        <w:tc>
          <w:tcPr>
            <w:tcW w:w="100" w:type="dxa"/>
            <w:vAlign w:val="bottom"/>
          </w:tcPr>
          <w:p>
            <w:pPr>
              <w:spacing w:after="0"/>
              <w:rPr>
                <w:sz w:val="15"/>
                <w:szCs w:val="15"/>
                <w:color w:val="auto"/>
              </w:rPr>
            </w:pPr>
          </w:p>
        </w:tc>
        <w:tc>
          <w:tcPr>
            <w:tcW w:w="1040" w:type="dxa"/>
            <w:vAlign w:val="bottom"/>
            <w:tcBorders>
              <w:top w:val="single" w:sz="8" w:color="auto"/>
            </w:tcBorders>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20.08</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weighted average grant-date fair value of restricted stock awards was $11.29 and $41.77 for the three months ended March 31, 2026 and 2025, respectively.</w:t>
      </w:r>
    </w:p>
    <w:p>
      <w:pPr>
        <w:spacing w:after="0" w:line="179"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As of March 31, 2026, the Company had $9.6 million of total unrecognized compensation expense related to restricted stock awards under the Equity Incentive Plan that will be recognized over the weighted average period of 3.28 years.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Income Taxes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effective tax rate (“ETR”) was (0.9)% for the three months ended March 31, 2026, and (0.4)% for the three months ended March 31, 2025. The Company is not aware of any items that would cause the quarterly or period-to-date ETR to be significantly different from the Company's annual ETR. The difference between the income tax provision that would be derived by applying the statutory rate to the Company's loss before income taxes and the income tax provision recorded was primarily attributable to the change in the valuation allowance. The Company continues to incur losses for the Cayman Island and Swiss entities, and its ability to utilize the deferred tax asset related to the tax losses is not considered more likely than not. A full valuation allowance has been recorded against the deferred tax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Commitments</w:t>
      </w:r>
    </w:p>
    <w:p>
      <w:pPr>
        <w:spacing w:after="0" w:line="181" w:lineRule="exact"/>
        <w:rPr>
          <w:sz w:val="20"/>
          <w:szCs w:val="20"/>
          <w:color w:val="auto"/>
        </w:rPr>
      </w:pPr>
    </w:p>
    <w:p>
      <w:pPr>
        <w:jc w:val="both"/>
        <w:ind w:firstLine="5"/>
        <w:spacing w:after="0" w:line="280" w:lineRule="auto"/>
        <w:rPr>
          <w:sz w:val="20"/>
          <w:szCs w:val="20"/>
          <w:color w:val="auto"/>
        </w:rPr>
      </w:pPr>
      <w:r>
        <w:rPr>
          <w:rFonts w:ascii="Times New Roman" w:cs="Times New Roman" w:eastAsia="Times New Roman" w:hAnsi="Times New Roman"/>
          <w:sz w:val="14"/>
          <w:szCs w:val="14"/>
          <w:color w:val="auto"/>
        </w:rPr>
        <w:t>The Company has entered into agreements as of March 31, 2026 primarily regarding the clinical and non-clinical development services with contract research organizations (“CROs”), as well as supply and logistics services with contract manufacturing organizations, for the advancement of SLK. As of March 31, 2026, the total committed expense under these agreements amounted to $175.7 million.</w:t>
      </w:r>
    </w:p>
    <w:p>
      <w:pPr>
        <w:spacing w:after="0" w:line="303" w:lineRule="exact"/>
        <w:rPr>
          <w:sz w:val="20"/>
          <w:szCs w:val="20"/>
          <w:color w:val="auto"/>
        </w:rPr>
      </w:pPr>
    </w:p>
    <w:p>
      <w:pPr>
        <w:jc w:val="both"/>
        <w:ind w:firstLine="5"/>
        <w:spacing w:after="0" w:line="257" w:lineRule="auto"/>
        <w:rPr>
          <w:sz w:val="20"/>
          <w:szCs w:val="20"/>
          <w:color w:val="auto"/>
        </w:rPr>
      </w:pPr>
      <w:r>
        <w:rPr>
          <w:rFonts w:ascii="Times New Roman" w:cs="Times New Roman" w:eastAsia="Times New Roman" w:hAnsi="Times New Roman"/>
          <w:sz w:val="14"/>
          <w:szCs w:val="14"/>
          <w:color w:val="auto"/>
        </w:rPr>
        <w:t>The Company's In-License Agreement with MHKDG includes contractual milestone payments related to the achievement of pre-specified research, development, regulatory and commercialization events and indemnification provisions, which are common in such agreements. Pursuant to the agreements, the Company is obligated to make research and development and regulatory milestone payments upon the occurrence of certain events. Subject to the terms of the license, additional milestone payments of up to €299.6 million ($344.3 million using a March 31, 2026 exchange rate) are potentially payable upon satisfying specific milestones related to regulatory filing acceptance, first commercial sales, and aggregate annual net sales. The milestone payments are payable in cash. Milestone payments due prior to obtaining regulatory approval will be recorded as research and development expense upon determination that a milestone payment is probable to occur. Milestone payments due after obtaining regulatory approval will be capitalized when and if incurred. The Company will use commercially reasonable efforts to cause the milestones to occur. However, if the Company reasonably determines that a technical failure or commercial failure has occurred with respect to all or a part of the SLK Program, the Company, at its sole discretion, can terminate all or part of the SLK Program. As of March 31, 2026, the Company made a total of €7.5 million ($8.1 million using the then applicable exchange rate) in additional milestone payments.</w:t>
      </w:r>
    </w:p>
    <w:p>
      <w:pPr>
        <w:spacing w:after="0" w:line="149" w:lineRule="exact"/>
        <w:rPr>
          <w:sz w:val="20"/>
          <w:szCs w:val="20"/>
          <w:color w:val="auto"/>
        </w:rPr>
      </w:pPr>
    </w:p>
    <w:p>
      <w:pPr>
        <w:jc w:val="both"/>
        <w:ind w:firstLine="5"/>
        <w:spacing w:after="0" w:line="261" w:lineRule="auto"/>
        <w:rPr>
          <w:sz w:val="20"/>
          <w:szCs w:val="20"/>
          <w:color w:val="auto"/>
        </w:rPr>
      </w:pPr>
      <w:r>
        <w:rPr>
          <w:rFonts w:ascii="Times New Roman" w:cs="Times New Roman" w:eastAsia="Times New Roman" w:hAnsi="Times New Roman"/>
          <w:sz w:val="14"/>
          <w:szCs w:val="14"/>
          <w:color w:val="auto"/>
        </w:rPr>
        <w:t>In addition, on May 12, 2023, MoonLake AG entered into an agreement with Research Cooperation Technologies, Inc. (“RCT”) and MHKDG, effective as of June 1, 2023, pursuant to which the Company was granted a royalty-bearing, nonexclusive, sublicensable right and license under RCT’s patents and know-how related to a manufacturing process using an underlying yeast strain, Pichia pastoris, to develop, manufacture, use, sell, offer for sale, and import and otherwise commercialize SLK on a world-wide basis, subject to certain restrictions. This agreement replaces the Company’s sublicense for similar rights under the In-License Agreement. In the aggregate, the Company is required to pay royalties within the range of low to mid-teen percent of net sales under the aforementioned agreements with MHKDG and RCT.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Royalties will be recognized in the condensed consolidated statements of operations and comprehensive loss when net sales are recognized.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Segment Information</w:t>
      </w:r>
    </w:p>
    <w:p>
      <w:pPr>
        <w:spacing w:after="0" w:line="181"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The Company operates as a single operating segment, focusing exclusively on the research, development, and eventual commercialization of its product. As the entire Company is centered around these activities, all consolidated parts of the Company are reviewed and analyzed as part of one segment.</w:t>
      </w:r>
    </w:p>
    <w:p>
      <w:pPr>
        <w:spacing w:after="0" w:line="124" w:lineRule="exact"/>
        <w:rPr>
          <w:sz w:val="20"/>
          <w:szCs w:val="20"/>
          <w:color w:val="auto"/>
        </w:rPr>
      </w:pPr>
    </w:p>
    <w:p>
      <w:pPr>
        <w:jc w:val="both"/>
        <w:ind w:firstLine="5"/>
        <w:spacing w:after="0" w:line="261" w:lineRule="auto"/>
        <w:rPr>
          <w:sz w:val="20"/>
          <w:szCs w:val="20"/>
          <w:color w:val="auto"/>
        </w:rPr>
      </w:pPr>
      <w:r>
        <w:rPr>
          <w:rFonts w:ascii="Times New Roman" w:cs="Times New Roman" w:eastAsia="Times New Roman" w:hAnsi="Times New Roman"/>
          <w:sz w:val="14"/>
          <w:szCs w:val="14"/>
          <w:color w:val="auto"/>
        </w:rPr>
        <w:t xml:space="preserve">As of March 31, 2026, the Company's single operating segment had not generated revenue from any programs or services. The accounting policies of the segment are the same as those described in the Note 2 — </w:t>
      </w:r>
      <w:r>
        <w:rPr>
          <w:rFonts w:ascii="Times New Roman" w:cs="Times New Roman" w:eastAsia="Times New Roman" w:hAnsi="Times New Roman"/>
          <w:sz w:val="14"/>
          <w:szCs w:val="14"/>
          <w:i w:val="1"/>
          <w:iCs w:val="1"/>
          <w:color w:val="auto"/>
        </w:rPr>
        <w:t>Basis of Presentation and Significant Accounting Policies</w:t>
      </w:r>
      <w:r>
        <w:rPr>
          <w:rFonts w:ascii="Times New Roman" w:cs="Times New Roman" w:eastAsia="Times New Roman" w:hAnsi="Times New Roman"/>
          <w:sz w:val="14"/>
          <w:szCs w:val="14"/>
          <w:color w:val="auto"/>
        </w:rPr>
        <w:t xml:space="preserve"> section. The measure of segment assets is reported on the condensed consolidated balance sheets as total assets. The measure of segment profit or loss is reported on the condensed consolidated statement of operations and comprehensive loss as net loss. The CODM uses this as a starting point alongside significant non-cash items and working capital changes to evaluate cash burn and determine financial sustainability, cost management patterns and overall business viability as the clinical trials progress. The CODM also uses this to manage operations and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ensure the most efficient use of Company resources against current budgets, alignment with strategic goals and preparation of future forecasts.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Significant Segment Expenses</w:t>
      </w:r>
    </w:p>
    <w:p>
      <w:pPr>
        <w:spacing w:after="0" w:line="181" w:lineRule="exact"/>
        <w:rPr>
          <w:sz w:val="20"/>
          <w:szCs w:val="20"/>
          <w:color w:val="auto"/>
        </w:rPr>
      </w:pPr>
    </w:p>
    <w:p>
      <w:pPr>
        <w:ind w:firstLine="5"/>
        <w:spacing w:after="0" w:line="287" w:lineRule="auto"/>
        <w:rPr>
          <w:sz w:val="20"/>
          <w:szCs w:val="20"/>
          <w:color w:val="auto"/>
        </w:rPr>
      </w:pPr>
      <w:r>
        <w:rPr>
          <w:rFonts w:ascii="Times New Roman" w:cs="Times New Roman" w:eastAsia="Times New Roman" w:hAnsi="Times New Roman"/>
          <w:sz w:val="14"/>
          <w:szCs w:val="14"/>
          <w:color w:val="auto"/>
        </w:rPr>
        <w:t>The measure of significant segment expenses is reported in the accompanying condensed consolidated statements of operations and comprehensive loss as “Research and development” and “General and administrative” for the three months ended March 31, 2026 and 2025.</w:t>
      </w:r>
    </w:p>
    <w:p>
      <w:pPr>
        <w:spacing w:after="0" w:line="122" w:lineRule="exact"/>
        <w:rPr>
          <w:sz w:val="20"/>
          <w:szCs w:val="20"/>
          <w:color w:val="auto"/>
        </w:rPr>
      </w:pPr>
    </w:p>
    <w:p>
      <w:pPr>
        <w:ind w:firstLine="5"/>
        <w:spacing w:after="0" w:line="290" w:lineRule="auto"/>
        <w:rPr>
          <w:sz w:val="20"/>
          <w:szCs w:val="20"/>
          <w:color w:val="auto"/>
        </w:rPr>
      </w:pPr>
      <w:r>
        <w:rPr>
          <w:rFonts w:ascii="Times New Roman" w:cs="Times New Roman" w:eastAsia="Times New Roman" w:hAnsi="Times New Roman"/>
          <w:sz w:val="14"/>
          <w:szCs w:val="14"/>
          <w:color w:val="auto"/>
        </w:rPr>
        <w:t xml:space="preserve">Non-cash share-based compensation is reported in Note 13 — </w:t>
      </w:r>
      <w:r>
        <w:rPr>
          <w:rFonts w:ascii="Times New Roman" w:cs="Times New Roman" w:eastAsia="Times New Roman" w:hAnsi="Times New Roman"/>
          <w:sz w:val="14"/>
          <w:szCs w:val="14"/>
          <w:i w:val="1"/>
          <w:iCs w:val="1"/>
          <w:color w:val="auto"/>
        </w:rPr>
        <w:t>Share-Based Compensation</w:t>
      </w:r>
      <w:r>
        <w:rPr>
          <w:rFonts w:ascii="Times New Roman" w:cs="Times New Roman" w:eastAsia="Times New Roman" w:hAnsi="Times New Roman"/>
          <w:sz w:val="14"/>
          <w:szCs w:val="14"/>
          <w:color w:val="auto"/>
        </w:rPr>
        <w:t xml:space="preserve"> for the three months ended March 31, 2026 and 2025. Non-cash depreciation and amortization for the three months ended March 31, 2026 and 2025 was $0.8 million and $0.4 million,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Geographical Data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Long-lived assets, consisting of property and equipment, net, and operating lease right-of-use assets by geographical area as of March 31, 2026 and December 31, 2025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210"/>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160" w:type="dxa"/>
            <w:vAlign w:val="bottom"/>
          </w:tcPr>
          <w:p>
            <w:pPr>
              <w:spacing w:after="0"/>
              <w:rPr>
                <w:sz w:val="18"/>
                <w:szCs w:val="18"/>
                <w:color w:val="auto"/>
              </w:rPr>
            </w:pPr>
          </w:p>
        </w:tc>
        <w:tc>
          <w:tcPr>
            <w:tcW w:w="208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2"/>
        </w:trPr>
        <w:tc>
          <w:tcPr>
            <w:tcW w:w="4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Switzerland</w:t>
            </w:r>
          </w:p>
        </w:tc>
        <w:tc>
          <w:tcPr>
            <w:tcW w:w="1160" w:type="dxa"/>
            <w:vAlign w:val="bottom"/>
            <w:tcBorders>
              <w:bottom w:val="single" w:sz="8" w:color="CCEEFF"/>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r>
      <w:tr>
        <w:trPr>
          <w:trHeight w:val="191"/>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116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w:t>
            </w:r>
          </w:p>
        </w:tc>
      </w:tr>
      <w:tr>
        <w:trPr>
          <w:trHeight w:val="32"/>
        </w:trPr>
        <w:tc>
          <w:tcPr>
            <w:tcW w:w="4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Portugal</w:t>
            </w:r>
          </w:p>
        </w:tc>
        <w:tc>
          <w:tcPr>
            <w:tcW w:w="116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w:t>
            </w:r>
          </w:p>
        </w:tc>
      </w:tr>
      <w:tr>
        <w:trPr>
          <w:trHeight w:val="208"/>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Borders>
              <w:top w:val="single" w:sz="8" w:color="auto"/>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2,389</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2,143</w:t>
            </w:r>
          </w:p>
        </w:tc>
      </w:tr>
      <w:tr>
        <w:trPr>
          <w:trHeight w:val="20"/>
        </w:trPr>
        <w:tc>
          <w:tcPr>
            <w:tcW w:w="4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Subsequent Events</w:t>
      </w:r>
    </w:p>
    <w:p>
      <w:pPr>
        <w:spacing w:after="0" w:line="181"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The Company has evaluated events subsequent to the balance sheet date through the date the financial statements were issued and determined that the following subsequent event requires disclosure in the financial statements.</w:t>
      </w:r>
    </w:p>
    <w:p>
      <w:pPr>
        <w:spacing w:after="0" w:line="124"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On April 2, 2026, the Company incorporated MoonLake Immunotherapeutics US Inc., a wholly-owned subsidiary incorporated under the laws of the State of Delaware in the United States. The subsidiary was established to support expansion and planned commercial activities in the United States. No material assets or liabilities were transferred to the subsidiary at inception.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April 2026, the Company sold 1,481,330 Class A Ordinary Shares under the Sales Agreement for gross proceeds of $27.5 million.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28" w:name="page29"/>
    <w:bookmarkEnd w:id="28"/>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81" w:lineRule="exact"/>
        <w:rPr>
          <w:sz w:val="20"/>
          <w:szCs w:val="20"/>
          <w:color w:val="auto"/>
        </w:rPr>
      </w:pPr>
    </w:p>
    <w:p>
      <w:pPr>
        <w:jc w:val="both"/>
        <w:ind w:firstLine="5"/>
        <w:spacing w:after="0" w:line="261" w:lineRule="auto"/>
        <w:rPr>
          <w:sz w:val="20"/>
          <w:szCs w:val="20"/>
          <w:color w:val="auto"/>
        </w:rPr>
      </w:pPr>
      <w:r>
        <w:rPr>
          <w:rFonts w:ascii="Times New Roman" w:cs="Times New Roman" w:eastAsia="Times New Roman" w:hAnsi="Times New Roman"/>
          <w:sz w:val="14"/>
          <w:szCs w:val="14"/>
          <w:color w:val="auto"/>
        </w:rPr>
        <w:t>The following discussion and analysis of our financial condition and results of operations should be read in conjunction with our unaudited condensed consolidated financial statements as of and for the three months ended March 31, 2026, appearing elsewhere in this quarterly report (“Quarterly Report”) on Form 10-Q, and with our audited consolidated financial statements and notes thereto in our Annual Report on Form 10-K for the year ended December 31, 2025, which was filed with the SEC on February 25, 2026 (our “Annual Report”). Our unaudited condensed consolidated financial statements as of and for the three months ended March 31, 2026 were prepared in accordance with accounting principles generally accepted in the United States (“U.S. GAAP”) and presented in United States dollars ($).</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References to “MoonLake”, “we”, “us”, “our”, “our Company”, “the Company” and “our business” refer to MoonLake Immunotherapeutics and its consolidated subsidiaries.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Special Note on Forward-Looking Statements</w:t>
      </w:r>
    </w:p>
    <w:p>
      <w:pPr>
        <w:spacing w:after="0" w:line="181" w:lineRule="exact"/>
        <w:rPr>
          <w:sz w:val="20"/>
          <w:szCs w:val="20"/>
          <w:color w:val="auto"/>
        </w:rPr>
      </w:pPr>
    </w:p>
    <w:p>
      <w:pPr>
        <w:jc w:val="both"/>
        <w:ind w:firstLine="5"/>
        <w:spacing w:after="0" w:line="255" w:lineRule="auto"/>
        <w:rPr>
          <w:sz w:val="20"/>
          <w:szCs w:val="20"/>
          <w:color w:val="auto"/>
        </w:rPr>
      </w:pPr>
      <w:r>
        <w:rPr>
          <w:rFonts w:ascii="Times New Roman" w:cs="Times New Roman" w:eastAsia="Times New Roman" w:hAnsi="Times New Roman"/>
          <w:sz w:val="14"/>
          <w:szCs w:val="14"/>
          <w:color w:val="auto"/>
        </w:rPr>
        <w:t>This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including, without limitation, statements regarding the following, are forward-looking statements: our future results of operations and financial position, our expectations regarding industry trends, the sufficiency of our cash and cash equivalents, the anticipated sources and uses of cash, the anticipated investments in our business, our business strategy and related financings, the plans and objectives of management for future operations and capital expenditures, our expectations regarding the timing and outcome of our clinical trial activities and results, regulatory submissions and approval and commercialization of our product candidates, including SLK (as defined below), and other information referred to in the sections titled “Business” and “Risk Factors” in our Annual Report and “Management’s Discussion and Analysis of Financial Condition and Results of Operations” and "Risk Factors" in this Quarterly Report.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 “believe”, “estimate”, “predict”, “potential”, “might”, “possible”,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Our actual results and the timing of events could differ materially from those anticipated in the forward-looking statements.</w:t>
      </w:r>
    </w:p>
    <w:p>
      <w:pPr>
        <w:spacing w:after="0" w:line="153" w:lineRule="exact"/>
        <w:rPr>
          <w:sz w:val="20"/>
          <w:szCs w:val="20"/>
          <w:color w:val="auto"/>
        </w:rPr>
      </w:pPr>
    </w:p>
    <w:p>
      <w:pPr>
        <w:jc w:val="both"/>
        <w:ind w:firstLine="5"/>
        <w:spacing w:after="0" w:line="260" w:lineRule="auto"/>
        <w:rPr>
          <w:sz w:val="20"/>
          <w:szCs w:val="20"/>
          <w:color w:val="auto"/>
        </w:rPr>
      </w:pPr>
      <w:r>
        <w:rPr>
          <w:rFonts w:ascii="Times New Roman" w:cs="Times New Roman" w:eastAsia="Times New Roman" w:hAnsi="Times New Roman"/>
          <w:sz w:val="14"/>
          <w:szCs w:val="14"/>
          <w:color w:val="auto"/>
        </w:rPr>
        <w:t>These forward-looking statements are subject to a number of important risks, uncertainties and other factors that could cause actual results to differ materially from those in the forward-looking statements expressed or implied in this Quarterly Report. Such risks, uncertainties and other factors include, among others, the risks, uncertainties and factors set forth in the sections titled “Risk Factors” included in our Annual Report and this Quarterly Report and the following risks, uncertainties and factors:</w:t>
      </w: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in retaining or recruiting, or changes required in, our officers, key employees or directors;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factors relating to our business, operations and financial performance, including, but not limited to:</w:t>
      </w:r>
    </w:p>
    <w:p>
      <w:pPr>
        <w:spacing w:after="0" w:line="8" w:lineRule="exact"/>
        <w:rPr>
          <w:rFonts w:ascii="Times New Roman" w:cs="Times New Roman" w:eastAsia="Times New Roman" w:hAnsi="Times New Roman"/>
          <w:sz w:val="14"/>
          <w:szCs w:val="14"/>
          <w:color w:val="auto"/>
        </w:rPr>
      </w:pPr>
    </w:p>
    <w:p>
      <w:pPr>
        <w:ind w:left="1020" w:hanging="251"/>
        <w:spacing w:after="0" w:line="253" w:lineRule="auto"/>
        <w:tabs>
          <w:tab w:leader="none" w:pos="1016"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substantially dependent on the success of our novel tri-specific Nanobody®, Sonelokimab (“SLK”, also known as M1095/ALX 0761), which we license from Merck Healthcare KGaA, Darmstadt, Germany, an affiliate of Merck KGaA, Darmstadt, Germany (“MHKDG”);</w:t>
      </w:r>
    </w:p>
    <w:p>
      <w:pPr>
        <w:ind w:left="1020" w:hanging="251"/>
        <w:spacing w:after="0"/>
        <w:tabs>
          <w:tab w:leader="none" w:pos="102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regulatory approval for our products, and any related restrictions or limitations of any approved products;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9" w:name="page30"/>
    <w:bookmarkEnd w:id="29"/>
    <w:p>
      <w:pPr>
        <w:spacing w:after="0" w:line="54" w:lineRule="exact"/>
        <w:rPr>
          <w:sz w:val="20"/>
          <w:szCs w:val="20"/>
          <w:color w:val="auto"/>
        </w:rPr>
      </w:pP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and competitive pressures from other global companies in the industries in which we operate;</w:t>
      </w:r>
    </w:p>
    <w:p>
      <w:pPr>
        <w:spacing w:after="0" w:line="23" w:lineRule="exact"/>
        <w:rPr>
          <w:rFonts w:ascii="Times New Roman" w:cs="Times New Roman" w:eastAsia="Times New Roman" w:hAnsi="Times New Roman"/>
          <w:sz w:val="14"/>
          <w:szCs w:val="14"/>
          <w:color w:val="auto"/>
        </w:rPr>
      </w:pPr>
    </w:p>
    <w:p>
      <w:pPr>
        <w:ind w:left="1020" w:hanging="251"/>
        <w:spacing w:after="0" w:line="253" w:lineRule="auto"/>
        <w:tabs>
          <w:tab w:leader="none" w:pos="10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significant losses since inception, and we expect to incur significant losses for the foreseeable future and may not be able to achieve or sustain profitability in the future;</w:t>
      </w: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our growth effectively;</w:t>
      </w:r>
    </w:p>
    <w:p>
      <w:pPr>
        <w:spacing w:after="0" w:line="8" w:lineRule="exact"/>
        <w:rPr>
          <w:rFonts w:ascii="Times New Roman" w:cs="Times New Roman" w:eastAsia="Times New Roman" w:hAnsi="Times New Roman"/>
          <w:sz w:val="14"/>
          <w:szCs w:val="14"/>
          <w:color w:val="auto"/>
        </w:rPr>
      </w:pPr>
    </w:p>
    <w:p>
      <w:pPr>
        <w:jc w:val="both"/>
        <w:ind w:left="1020" w:hanging="251"/>
        <w:spacing w:after="0" w:line="253" w:lineRule="auto"/>
        <w:tabs>
          <w:tab w:leader="none" w:pos="10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adverse business and economic conditions including inflationary pressures, general economic slowdown or a recession, fluctuating interest rates, new or increased tariffs and other barriers to trade, changes in fiscal and monetary policy or government budget dynamics, the prospect of a shutdown of the U.S. federal government, conflicts in the Middle East, and significant volatility in commodity prices, including the price of oil and the responses thereto;</w:t>
      </w: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we have initiated and completed clinical trials, we have no products approved for commercial sale;</w:t>
      </w:r>
    </w:p>
    <w:p>
      <w:pPr>
        <w:spacing w:after="0" w:line="8" w:lineRule="exact"/>
        <w:rPr>
          <w:rFonts w:ascii="Times New Roman" w:cs="Times New Roman" w:eastAsia="Times New Roman" w:hAnsi="Times New Roman"/>
          <w:sz w:val="14"/>
          <w:szCs w:val="14"/>
          <w:color w:val="auto"/>
        </w:rPr>
      </w:pPr>
    </w:p>
    <w:p>
      <w:pPr>
        <w:ind w:left="1020" w:hanging="251"/>
        <w:spacing w:after="0" w:line="253" w:lineRule="auto"/>
        <w:tabs>
          <w:tab w:leader="none" w:pos="10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require substantial additional capital to finance our operations, and if we are unable to raise such capital when needed or on acceptable terms, we may be forced to delay, reduce, and/or eliminate one or more of our development programs or future commercialization efforts;</w:t>
      </w: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renew existing contracts;</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limited operating history;</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respond to general economic conditions;</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litigation following periods of volatility in the marketplace or our share price; and</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adequately protect our intellectual property rights; and</w:t>
      </w:r>
    </w:p>
    <w:p>
      <w:pPr>
        <w:spacing w:after="0" w:line="8" w:lineRule="exact"/>
        <w:rPr>
          <w:rFonts w:ascii="Times New Roman" w:cs="Times New Roman" w:eastAsia="Times New Roman" w:hAnsi="Times New Roman"/>
          <w:sz w:val="14"/>
          <w:szCs w:val="14"/>
          <w:color w:val="auto"/>
        </w:rPr>
      </w:pPr>
    </w:p>
    <w:p>
      <w:pPr>
        <w:ind w:left="1020" w:hanging="251"/>
        <w:spacing w:after="0" w:line="266" w:lineRule="auto"/>
        <w:tabs>
          <w:tab w:leader="none" w:pos="10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factors described under the caption “Risk Factors” in our Annual Report, as may be updated in this Quarterly Report, and our other filings with the Securities and Exchange Commission (the “SEC”).</w:t>
      </w:r>
    </w:p>
    <w:p>
      <w:pPr>
        <w:spacing w:after="0" w:line="138" w:lineRule="exact"/>
        <w:rPr>
          <w:sz w:val="20"/>
          <w:szCs w:val="20"/>
          <w:color w:val="auto"/>
        </w:rPr>
      </w:pPr>
    </w:p>
    <w:p>
      <w:pPr>
        <w:jc w:val="both"/>
        <w:ind w:firstLine="5"/>
        <w:spacing w:after="0" w:line="261" w:lineRule="auto"/>
        <w:rPr>
          <w:sz w:val="20"/>
          <w:szCs w:val="20"/>
          <w:color w:val="auto"/>
        </w:rPr>
      </w:pPr>
      <w:r>
        <w:rPr>
          <w:rFonts w:ascii="Times New Roman" w:cs="Times New Roman" w:eastAsia="Times New Roman" w:hAnsi="Times New Roman"/>
          <w:sz w:val="14"/>
          <w:szCs w:val="14"/>
          <w:color w:val="auto"/>
        </w:rPr>
        <w:t>New risk factors emerge from time to time and it is not possible to predict all such risks, nor can we assess the impact of all such risks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 to update or revise publicly any forward-looking statements, whether as a result of new information, future events or otherwise, except as required by law.</w:t>
      </w:r>
    </w:p>
    <w:p>
      <w:pPr>
        <w:spacing w:after="0" w:line="143" w:lineRule="exact"/>
        <w:rPr>
          <w:sz w:val="20"/>
          <w:szCs w:val="20"/>
          <w:color w:val="auto"/>
        </w:rPr>
      </w:pPr>
    </w:p>
    <w:p>
      <w:pPr>
        <w:jc w:val="both"/>
        <w:ind w:firstLine="5"/>
        <w:spacing w:after="0" w:line="264" w:lineRule="auto"/>
        <w:rPr>
          <w:sz w:val="20"/>
          <w:szCs w:val="20"/>
          <w:color w:val="auto"/>
        </w:rPr>
      </w:pPr>
      <w:r>
        <w:rPr>
          <w:rFonts w:ascii="Times New Roman" w:cs="Times New Roman" w:eastAsia="Times New Roman" w:hAnsi="Times New Roman"/>
          <w:sz w:val="14"/>
          <w:szCs w:val="14"/>
          <w:color w:val="auto"/>
        </w:rPr>
        <w:t>There may be other factors that may cause our actual results to differ materially from the forward-looking statements, including factors disclosed in “Risk Factors” in our Annual Report or “Management’s Discussion and Analysis of Financial Condition and Results of Operations” and “Risk Factors” in this Quarterly Report. You should read this Quarterly Report and the documents that we reference herein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81"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We are a clinical stage biotechnology company advancing therapies to address significant unmet needs in inflammatory skin and joint diseases. We are currently a single asset company focused on the development of SLK, a novel tri-specific IL-17A and IL-17F inhibiting Nanobody, that we exclusively licensed from MHKDG and that has the potential, based on response levels seen in clinical trials, to drive disease modification in dermatology and rheumatology patients.</w:t>
      </w:r>
    </w:p>
    <w:p>
      <w:pPr>
        <w:spacing w:after="0" w:line="136"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SLK is a proprietary Nanobody that was discovered by Ablynx N.V., Belgium, a Sanofi company (“Ablynx”), and previously studied by MHKDG and Avillion LLP under a 2017 co-development agreement. The terms “Nanobody” and “Nanobodies” used herewith are registered trademarks of Ablynx. Nanobodies are able to bind selectively to a specific antigen with high affinity. Nanobodies have a fraction of the molecular weight compared to traditional antibodies. They offer a number of potential advantages over traditional monoclonal antibodies, including the potential to create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0" w:name="page31"/>
    <w:bookmarkEnd w:id="30"/>
    <w:p>
      <w:pPr>
        <w:spacing w:after="0" w:line="5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multivalent molecules with enhanced ability to penetrate inflamed tissue, especially when containing an additional albumin binding domain such as SLK, an easier manufacturing process and a higher thermostability.</w:t>
      </w:r>
    </w:p>
    <w:p>
      <w:pPr>
        <w:spacing w:after="0" w:line="124" w:lineRule="exact"/>
        <w:rPr>
          <w:sz w:val="20"/>
          <w:szCs w:val="20"/>
          <w:color w:val="auto"/>
        </w:rPr>
      </w:pPr>
    </w:p>
    <w:p>
      <w:pPr>
        <w:jc w:val="both"/>
        <w:ind w:firstLine="5"/>
        <w:spacing w:after="0" w:line="261" w:lineRule="auto"/>
        <w:rPr>
          <w:sz w:val="20"/>
          <w:szCs w:val="20"/>
          <w:color w:val="auto"/>
        </w:rPr>
      </w:pPr>
      <w:r>
        <w:rPr>
          <w:rFonts w:ascii="Times New Roman" w:cs="Times New Roman" w:eastAsia="Times New Roman" w:hAnsi="Times New Roman"/>
          <w:sz w:val="14"/>
          <w:szCs w:val="14"/>
          <w:color w:val="auto"/>
        </w:rPr>
        <w:t>We currently develop SLK in inflammatory diseases in dermatology and rheumatology where the pathophysiology is known to be driven by IL-17A and IL-17F. This group of diseases comprises our current target diseases, hidradenitis suppurativa (“HS”), psoriatic arthritis (“PsA”), axial spondyloarthritis (“axSpA”), palmoplantar pustulosis (“PPP”), and several other inflammatory conditions, including psoriasis (“PsO”). Our current target diseases affect millions of people worldwide, and we believe there is a need for improved treatment options. We believe that SLK has a differentiated mechanism of action and that its purposefully designed molecular characteristics, including its small size and its albumin binding site, facilitate deep tissue penetration in the skin and joints. We envision SLK as a key therapeutic alternative in our initial target indications and potentially in multiple other IL-17 driven inflammatory conditions.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HS Trials and Plans for Commercial Launch</w:t>
      </w:r>
    </w:p>
    <w:p>
      <w:pPr>
        <w:spacing w:after="0" w:line="181" w:lineRule="exact"/>
        <w:rPr>
          <w:sz w:val="20"/>
          <w:szCs w:val="20"/>
          <w:color w:val="auto"/>
        </w:rPr>
      </w:pPr>
    </w:p>
    <w:p>
      <w:pPr>
        <w:jc w:val="both"/>
        <w:ind w:firstLine="5"/>
        <w:spacing w:after="0" w:line="254" w:lineRule="auto"/>
        <w:rPr>
          <w:sz w:val="20"/>
          <w:szCs w:val="20"/>
          <w:color w:val="auto"/>
        </w:rPr>
      </w:pPr>
      <w:r>
        <w:rPr>
          <w:rFonts w:ascii="Times New Roman" w:cs="Times New Roman" w:eastAsia="Times New Roman" w:hAnsi="Times New Roman"/>
          <w:sz w:val="14"/>
          <w:szCs w:val="14"/>
          <w:color w:val="auto"/>
        </w:rPr>
        <w:t>In May 2022, we initiated a Phase 2b trial of SLK in patients with moderate-to-severe HS (the MIRA trial (M1095-HS-201)), and in June 2023, we announced positive top-line results from this trial, which met its primary endpoint of Hidradenitis Suppurativa Clinical Response (“HiSCR”) 75 with 43% of patients treated with SLK 120mg achieving such response at week 12. In October 2023, we announced positive 24-week top-line results showing that the maintenance treatment with SLK led to further improvements in HiSCR75 response rates and other clinically relevant outcomes in patients with moderate-to-severe HS. In February 2024, we announced the successful outcome of our end-of-Phase 2 interactions with the U.S. Food and Drug Administration (“FDA”), as well as positive feedback from our interactions with the E.U. European Medicines Agency (“EMA”), with both regulatory bodies supporting our proposed approach for advancing our Phase 3 program of SLK in HS. In May 2024, we announced the screening of the first patients in the VELA-1 trial (M1095-HS-301) and VELA-2 trial (M1095-HS-302). In April 2025, we announced completion of enrollment of the VELA program and presented baseline characteristics of enrolled patients. In September 2025, we announced primary endpoint data from the VELA-1 and VELA-2 clinical trials. In the combined VELA program, patients treated with SLK experienced a clinically meaningful and statistically significant improvement across all primary and key secondary endpoints using both pre-specified strategies (p&lt;0.001). In VELA-1, SLK achieved statistical significance for all primary and key secondary endpoints using both pre-specified strategies (HiSCR75, delta to placebo of 17%, p&lt;0.001). 34% of patients treated with SLK 120mg achieved a HiSCR75 response at the week 16 primary endpoint. In VELA-2, response rates associated with SLK were similar to those observed in VELA-1 (HiSCR75 response of 34%), but a higher-than-expected placebo arm precluded the study from achieving statistical significance in the week 16 primary endpoint using the composite strategy (HiSCR75, delta to placebo of 9%, p=0.053). Impact on HS lesions, including draining tunnels, was matched by improvements in all key Patient Reported Outcomes (“PROs”), such as quality-of-life and pain scores, that are meaningful for HS patients and their treating physicians. The safety profile of SLK was consistent with previously reported studies with no new safety signals observed. This included the absence of new signals in key events of interest with IL-17A and F therapies such as Suicidal Ideation and Behavior, hepatic events, Inflammatory Bowel Disease (“IBD”) and non-infectious diarrhea, Major Adverse Cardiovascular Events (“MACE”), and Eczema and Dermatitis. In February 2026, we presented an interim analysis of the long-term data from the VELA trials, which indicated that monthly maintenance treatment with SLK can lead to further improvements in clinically relevant outcomes in patients with moderate-to-severe HS, including an as-observed HiSCR75 response rate of 69% in VELA-1 (n=104) and 67% in VELA 2 (n=123) after 52 weeks of treatment with SLK 120mg. In March 2026, we announced the week 40 results of the VELA-1 and VELA-2 clinical trials, which demonstrated continued improvement of clinical scores and PROs associated with continued SLK treatment. Across both VELA-1 and VELA-2, 62% of patients treated with SLK achieved a HiSCR75 response at week 40, and up to 32% of patients achieved HiSCR100 response at week 40. The VELA trials are expected to continue to week 52, followed by an open-label extension for up to two years (the VELA-OLE trial (M1095-HS-303)). We expect the full one-year data of VELA-1 and VELA-2 to become available in the second quarter of 2026. In parallel, we are conducting a Phase 3 trial of SLK in adolescent patients with HS (the VELA-TEEN trial (M1095-HS-304)), which we initiated in January 2025 and which completed enrollment in April 2026. In February 2026, we presented an interim analysis of the VELA-TEEN clinical trial which showed that 67% of patients achieved a HiSCR75 response at week 16 (n=21). We expect to announce topline results from the VELA-TEEN clinical trial in the second half of 2026.</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1" w:name="page32"/>
    <w:bookmarkEnd w:id="31"/>
    <w:p>
      <w:pPr>
        <w:spacing w:after="0" w:line="54"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In November 2025, we were granted a Type B meeting with the FDA to discuss adequacy of the current clinical evidence package of SLK in HS to support a Biologics License Application (“BLA”) and in January 2026, we announced positive feedback from this interaction, confirming that we may establish substantial evidence of effectiveness (“SEE”) without additional clinical trials in HS. The FDA specifically advised to include the results of the MIRA trial together with the results of the VELA trials in the submission to establish SEE.</w:t>
      </w:r>
    </w:p>
    <w:p>
      <w:pPr>
        <w:spacing w:after="0" w:line="136" w:lineRule="exact"/>
        <w:rPr>
          <w:sz w:val="20"/>
          <w:szCs w:val="20"/>
          <w:color w:val="auto"/>
        </w:rPr>
      </w:pPr>
    </w:p>
    <w:p>
      <w:pPr>
        <w:jc w:val="both"/>
        <w:ind w:firstLine="5"/>
        <w:spacing w:after="0" w:line="261" w:lineRule="auto"/>
        <w:rPr>
          <w:sz w:val="20"/>
          <w:szCs w:val="20"/>
          <w:color w:val="auto"/>
        </w:rPr>
      </w:pPr>
      <w:r>
        <w:rPr>
          <w:rFonts w:ascii="Times New Roman" w:cs="Times New Roman" w:eastAsia="Times New Roman" w:hAnsi="Times New Roman"/>
          <w:sz w:val="14"/>
          <w:szCs w:val="14"/>
          <w:color w:val="auto"/>
        </w:rPr>
        <w:t>In April 2026, we conducted a positive pre-BLA meeting with the FDA which constituted the last expected meeting with the FDA before the anticipated filing of the BLA for SLK in HS. In the meeting, we confirmed key elements of the proposed BLA submission package. No gaps were identified and we expect to submit the BLA for SLK in HS at the end of the third quarter of 2026. In the meeting, we further re-confirmed the inclusion of the MIRA trial to establish SEE and will thus continue to build the relevant sections of the proposed label as planned. We also aligned with the FDA on the inclusion of our VELA-TEEN clinical trial data to seek approval for patients with HS from age 12 onwards and notified the FDA of our intent to apply for priority review. Subject to FDA approval, we expect a first commercial launch in the United States in the second half of 2027.</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PsA Trials</w:t>
      </w:r>
    </w:p>
    <w:p>
      <w:pPr>
        <w:spacing w:after="0" w:line="181" w:lineRule="exact"/>
        <w:rPr>
          <w:sz w:val="20"/>
          <w:szCs w:val="20"/>
          <w:color w:val="auto"/>
        </w:rPr>
      </w:pPr>
    </w:p>
    <w:p>
      <w:pPr>
        <w:jc w:val="both"/>
        <w:ind w:firstLine="5"/>
        <w:spacing w:after="0" w:line="257" w:lineRule="auto"/>
        <w:rPr>
          <w:sz w:val="20"/>
          <w:szCs w:val="20"/>
          <w:color w:val="auto"/>
        </w:rPr>
      </w:pPr>
      <w:r>
        <w:rPr>
          <w:rFonts w:ascii="Times New Roman" w:cs="Times New Roman" w:eastAsia="Times New Roman" w:hAnsi="Times New Roman"/>
          <w:sz w:val="14"/>
          <w:szCs w:val="14"/>
          <w:color w:val="auto"/>
        </w:rPr>
        <w:t>In December 2022, we initiated a Phase 2b trial in patients with active PsA (the ARGO trial (M1095-PSA-201)) and in November 2023, we announced positive top-line results from this trial, which met its primary endpoint of American College of Rheumatology (“ACR”) 50 with 46% of patients on 60mg SLK achieving such response at week 12. In March 2024, we announced positive 24-week data from the ARGO trial in PsA showing that continued treatment with SLK led to significant improvements across all key outcomes. In June 2024, we announced the successful outcome of our end-of-Phase 2 interactions with the FDA, as well as positive feedback from our interactions with the EMA, with both regulatory bodies supporting our proposed approach for advancing our Phase 3 program of SLK in PsA. In November 2024, we announced the screening of the first patients in the IZAR-1 trial (M1095-PSA-301) and IZAR-2 trial (M1095-PSA-302). In February 2026, we announced completion of enrollment for the IZAR-1 trial. We expect a readout of the primary and key secondary endpoints of the IZAR-1 clinical trial in mid-2026 and of the IZAR-2 clinical trial in the second half of 2026. In addition, in January 2025, we initiated another Phase 2 clinical trial of SLK in patients with PsA where we are applying novel imaging techniques (the P-OLARIS trial (M1095-snSpA-202)). We expect results of the P-OLARIS trial to become available at the end of 2026.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PPP Trials</w:t>
      </w:r>
    </w:p>
    <w:p>
      <w:pPr>
        <w:spacing w:after="0" w:line="181" w:lineRule="exact"/>
        <w:rPr>
          <w:sz w:val="20"/>
          <w:szCs w:val="20"/>
          <w:color w:val="auto"/>
        </w:rPr>
      </w:pPr>
    </w:p>
    <w:p>
      <w:pPr>
        <w:jc w:val="both"/>
        <w:ind w:firstLine="5"/>
        <w:spacing w:after="0" w:line="261" w:lineRule="auto"/>
        <w:rPr>
          <w:sz w:val="20"/>
          <w:szCs w:val="20"/>
          <w:color w:val="auto"/>
        </w:rPr>
      </w:pPr>
      <w:r>
        <w:rPr>
          <w:rFonts w:ascii="Times New Roman" w:cs="Times New Roman" w:eastAsia="Times New Roman" w:hAnsi="Times New Roman"/>
          <w:sz w:val="14"/>
          <w:szCs w:val="14"/>
          <w:color w:val="auto"/>
        </w:rPr>
        <w:t>In November 2024, we initiated a Phase 2 trial in patients with PPP (the LEDA trial (M1095-PPP-201)) and in November 2025, we presented positive results of this trial, suggesting that SLK could provide clinically meaningful improvements in patients with PPP. Patients treated with SLK achieved a mean percent change from baseline in the Palmoplantar Pustular Psoriasis Area and Severity Index (“PPPASI”) of 64% at week 16, and 39% of patients achieved a ≥75% reduction in the PPPASI (“PPPASI75”). In February 2026, we announced that we received Fast Track designation from the FDA for SLK in moderate-to-severe PPP. In April 2026, we received feedback from the FDA on the design of the proposed Phase 3 clinical trial in PPP, and we expect to commence enrollment in the third quarter of 2026.</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axSpA Trials</w:t>
      </w:r>
    </w:p>
    <w:p>
      <w:pPr>
        <w:spacing w:after="0" w:line="181" w:lineRule="exact"/>
        <w:rPr>
          <w:sz w:val="20"/>
          <w:szCs w:val="20"/>
          <w:color w:val="auto"/>
        </w:rPr>
      </w:pPr>
    </w:p>
    <w:p>
      <w:pPr>
        <w:jc w:val="both"/>
        <w:ind w:firstLine="5"/>
        <w:spacing w:after="0" w:line="261" w:lineRule="auto"/>
        <w:rPr>
          <w:sz w:val="20"/>
          <w:szCs w:val="20"/>
          <w:color w:val="auto"/>
        </w:rPr>
      </w:pPr>
      <w:r>
        <w:rPr>
          <w:rFonts w:ascii="Times New Roman" w:cs="Times New Roman" w:eastAsia="Times New Roman" w:hAnsi="Times New Roman"/>
          <w:sz w:val="14"/>
          <w:szCs w:val="14"/>
          <w:color w:val="auto"/>
        </w:rPr>
        <w:t>In February 2025, we initiated a Phase 2 trial in patients with axSpA (the S-OLARIS trial (M1095-axSpA-202)) and in February 2026, we presented positive results of this trial, suggesting that SLK could provide clinically meaningful improvements in patients with axSpA. Of the patients (n=26) treated with SLK, 81% achieved an Assessment of Spondyloarthritis International Society 40 (“ASAS40”) response at week 12, showing at least 40% improvement and an absolute improvement of ≥2 units on a numerical rating scale (0 to 10) from baseline in at least three of the four key domains (Patient Global Assessment (“PGA”) of disease activity, total back pain, physical function, inflammation). More than 80% of patients have achieved a “clinically important improvement” as per ASDAS-CRP score by week 12, confirming the strong result in this clinically relevant endpoint.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2" w:name="page33"/>
    <w:bookmarkEnd w:id="32"/>
    <w:p>
      <w:pPr>
        <w:spacing w:after="0" w:line="54"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PET and MRI imaging data collected as part of the clinical trial confirm a significant reduction in inflammation in the deep tissue of the spine and sacroiliac joint affected by axSpA in a pooled analysis comparing baseline to week 12. Additional objective biomarker and tissue analyses conducted as part of the clinical trial reinforce rapid and sustained effect of the treatment with SLK in axSpA patients. The safety profile of SLK in the S-OLARIS trial was consistent with previous trials with no new safety signals detected.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Additional Trials for Other Indications</w:t>
      </w:r>
    </w:p>
    <w:p>
      <w:pPr>
        <w:spacing w:after="0" w:line="181"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SLK was also studied in a Phase 2b trial in PsO patients where it showed a significant improvement in the primary end point as compared with placebo and for which results were presented in peer-reviewed scientific publications and conferences. In addition, Phase 1 single ascending and multiple ascending dosing trials were previously completed.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summary</w:t>
      </w:r>
    </w:p>
    <w:p>
      <w:pPr>
        <w:spacing w:after="0" w:line="181" w:lineRule="exact"/>
        <w:rPr>
          <w:sz w:val="20"/>
          <w:szCs w:val="20"/>
          <w:color w:val="auto"/>
        </w:rPr>
      </w:pPr>
    </w:p>
    <w:p>
      <w:pPr>
        <w:jc w:val="both"/>
        <w:ind w:firstLine="5"/>
        <w:spacing w:after="0" w:line="261" w:lineRule="auto"/>
        <w:rPr>
          <w:sz w:val="20"/>
          <w:szCs w:val="20"/>
          <w:color w:val="auto"/>
        </w:rPr>
      </w:pPr>
      <w:r>
        <w:rPr>
          <w:rFonts w:ascii="Times New Roman" w:cs="Times New Roman" w:eastAsia="Times New Roman" w:hAnsi="Times New Roman"/>
          <w:sz w:val="14"/>
          <w:szCs w:val="14"/>
          <w:color w:val="auto"/>
        </w:rPr>
        <w:t>We do not have any product candidates approved for commercial sale, and we have not generated any revenue from product sales. Our ability to generate revenue sufficient to achieve profitability will depend on the successful development and eventual commercialization of SLK in one or more indications, which we expect to take a number of years. We expect to continue to incur substantial expenses and operating losses for at least the next two years as we continue the development of SLK and prepare for commercial launches. We expect that operating losses will fluctuate notably from year to year depending on the timing of our planned clinical development programs, efforts to achieve regulatory approval, and planned marketing and sales expenditures to support a commercial launch.</w:t>
      </w:r>
    </w:p>
    <w:p>
      <w:pPr>
        <w:spacing w:after="0" w:line="143"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As of March 31, 2026, we had $357.9 million of cash, cash equivalents, and short-term marketable securities. Based on our current operating plan and proceeds received from issuance of Class A ordinary shares under the Sales Agreement subsequent to the reporting period, we believe that we have sufficient capital to fund our operations and capital expenditures to the end of 2027.</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Operations Overview</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81"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To date, we have not generated any revenue from product sales. If our development efforts for SLK are successful and result in regulatory approval or new license agreements with third parties, we may generate revenue in the future from product sales or milestone payments. However, there can be no assurance as to when we will generate such revenue, if at all.</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81" w:lineRule="exact"/>
        <w:rPr>
          <w:sz w:val="20"/>
          <w:szCs w:val="20"/>
          <w:color w:val="auto"/>
        </w:rPr>
      </w:pPr>
    </w:p>
    <w:p>
      <w:pPr>
        <w:jc w:val="both"/>
        <w:ind w:firstLine="5"/>
        <w:spacing w:after="0" w:line="263" w:lineRule="auto"/>
        <w:rPr>
          <w:sz w:val="20"/>
          <w:szCs w:val="20"/>
          <w:color w:val="auto"/>
        </w:rPr>
      </w:pPr>
      <w:r>
        <w:rPr>
          <w:rFonts w:ascii="Times New Roman" w:cs="Times New Roman" w:eastAsia="Times New Roman" w:hAnsi="Times New Roman"/>
          <w:sz w:val="14"/>
          <w:szCs w:val="14"/>
          <w:color w:val="auto"/>
        </w:rPr>
        <w:t>Research and development expenses consist primarily of costs incurred for our research activities, including third-party license fees and efforts relating to the development of SLK. We expense research and development costs as incurred, which include:</w:t>
      </w:r>
    </w:p>
    <w:p>
      <w:pPr>
        <w:spacing w:after="0" w:line="1"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employee-related expenses, including salaries, bonuses, benefits, share-based compensation, and other related costs for those employees involved in research and development efforts;</w:t>
      </w:r>
    </w:p>
    <w:p>
      <w:pPr>
        <w:spacing w:after="0" w:line="8" w:lineRule="exact"/>
        <w:rPr>
          <w:rFonts w:ascii="Times New Roman" w:cs="Times New Roman" w:eastAsia="Times New Roman" w:hAnsi="Times New Roman"/>
          <w:sz w:val="14"/>
          <w:szCs w:val="14"/>
          <w:color w:val="auto"/>
        </w:rPr>
      </w:pPr>
    </w:p>
    <w:p>
      <w:pPr>
        <w:ind w:left="520" w:hanging="260"/>
        <w:spacing w:after="0" w:line="266"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research and development expenses incurred under agreements with Clinical Research Organizations (“CROs”) as well as consultants that conduct our research program and development services;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3" w:name="page34"/>
    <w:bookmarkEnd w:id="33"/>
    <w:p>
      <w:pPr>
        <w:spacing w:after="0" w:line="54"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incurred under collaboration agreements;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manufacturing material for our research program, clinical studies, and pre-launch inventory;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compliance with regulatory requirements;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facilities, depreciation and other allocated expenses, which include direct and allocated expenses for rent, utilities and insurance.</w:t>
      </w:r>
    </w:p>
    <w:p>
      <w:pPr>
        <w:spacing w:after="0" w:line="164"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We estimate research and clinical trial expenses based on the services performed pursuant to contracts with research institutions, CROs, and Clinical Manufacturing Organizations (“CMOs”) that conduct and manage research studies and clinical trials on our behalf based on actual time and expenses incurred by them or probable achievement of milestone events that are associated with contractually agreed milestone payments.</w:t>
      </w:r>
    </w:p>
    <w:p>
      <w:pPr>
        <w:spacing w:after="0" w:line="136"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We account for advance payments for goods and services that will be used in future research and development activities as expenses when the services have been performed or when the goods have been received rather than when the payment is made.</w:t>
      </w:r>
    </w:p>
    <w:p>
      <w:pPr>
        <w:spacing w:after="0" w:line="124"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We do not allocate employee costs, facilities costs, including depreciation, or other indirect costs to specific programs because these costs are deployed across multiple programs and, as such, are not separately classified. We use internal resources primarily for managing our research program, clinical development, and manufacturing activities.</w:t>
      </w:r>
    </w:p>
    <w:p>
      <w:pPr>
        <w:spacing w:after="0" w:line="124" w:lineRule="exact"/>
        <w:rPr>
          <w:sz w:val="20"/>
          <w:szCs w:val="20"/>
          <w:color w:val="auto"/>
        </w:rPr>
      </w:pPr>
    </w:p>
    <w:p>
      <w:pPr>
        <w:jc w:val="both"/>
        <w:ind w:firstLine="5"/>
        <w:spacing w:after="0" w:line="259" w:lineRule="auto"/>
        <w:rPr>
          <w:sz w:val="20"/>
          <w:szCs w:val="20"/>
          <w:color w:val="auto"/>
        </w:rPr>
      </w:pPr>
      <w:r>
        <w:rPr>
          <w:rFonts w:ascii="Times New Roman" w:cs="Times New Roman" w:eastAsia="Times New Roman" w:hAnsi="Times New Roman"/>
          <w:sz w:val="14"/>
          <w:szCs w:val="14"/>
          <w:color w:val="auto"/>
        </w:rPr>
        <w:t>We expect to incur considerable research and development expenses for the foreseeable future as we continue the development and manufacturing partnerships for SLK, conduct research activities and potentially expand our pipeline by pursuing additional indications for SLK or including new product candidates in our portfolio. We cannot determine with certainty the timing of initiation, the duration, or the completion costs of current or future research studies and clinical trials of SLK due to the inherently unpredictable nature of research activities and clinical development. Clinical development timelines, the probability of success and the development costs can differ materially from expectations. We anticipate that we will make determinations as to which indications to pursue and how much funding to direct to each indication on an ongoing basis in response to the results of ongoing and future research studies and clinical trials, regulatory developments, and our ongoing assessments as to each indication’s commercial potential.</w:t>
      </w:r>
    </w:p>
    <w:p>
      <w:pPr>
        <w:spacing w:after="0" w:line="146" w:lineRule="exact"/>
        <w:rPr>
          <w:sz w:val="20"/>
          <w:szCs w:val="20"/>
          <w:color w:val="auto"/>
        </w:rPr>
      </w:pPr>
    </w:p>
    <w:p>
      <w:pPr>
        <w:jc w:val="both"/>
        <w:ind w:firstLine="5"/>
        <w:spacing w:after="0" w:line="261" w:lineRule="auto"/>
        <w:rPr>
          <w:sz w:val="20"/>
          <w:szCs w:val="20"/>
          <w:color w:val="auto"/>
        </w:rPr>
      </w:pPr>
      <w:r>
        <w:rPr>
          <w:rFonts w:ascii="Times New Roman" w:cs="Times New Roman" w:eastAsia="Times New Roman" w:hAnsi="Times New Roman"/>
          <w:sz w:val="14"/>
          <w:szCs w:val="14"/>
          <w:color w:val="auto"/>
        </w:rPr>
        <w:t>Any changes in the outcome of any of these variables with respect to the development of SLK could mean a notable change in the costs and timing associated with its development. We may never succeed in achieving regulatory approval for SLK. We may obtain unexpected results from our clinical trials. We may elect to discontinue, delay or modify clinical trials or focus on other product candidates. For example, if the FDA, the EMA, or another regulatory authority were to delay our planned start of clinical trials or require us to conduct clinical trials or other testing beyond those that we currently expect or if we experience delays in enrollment in any of our planned clinical trials, we could be required to expend significant additional financial resources and time on the completion of SLK’s clinical development.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81"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General and administrative expense (“G&amp;A”) consists primarily of employee related costs, including salaries, bonuses, benefits, share-based compensation and other related costs for our executive and administrative functions. G&amp;A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our strategy, there are a number of factors that we expect will impact the level of research and development expenses, G&amp;A expenses, and capital expenditures incurred by the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factors include:</w:t>
      </w:r>
    </w:p>
    <w:p>
      <w:pPr>
        <w:spacing w:after="0" w:line="177" w:lineRule="exact"/>
        <w:rPr>
          <w:sz w:val="20"/>
          <w:szCs w:val="20"/>
          <w:color w:val="auto"/>
        </w:rPr>
      </w:pPr>
    </w:p>
    <w:p>
      <w:pPr>
        <w:ind w:left="520" w:hanging="260"/>
        <w:spacing w:after="0" w:line="290"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Completing the development of SLK in our current focus indications, HS, PsA, axSpA and PPP — </w:t>
      </w:r>
      <w:r>
        <w:rPr>
          <w:rFonts w:ascii="Times New Roman" w:cs="Times New Roman" w:eastAsia="Times New Roman" w:hAnsi="Times New Roman"/>
          <w:sz w:val="14"/>
          <w:szCs w:val="14"/>
          <w:color w:val="auto"/>
        </w:rPr>
        <w:t>We expect to incur considerable research and development expenses and G&amp;A expenses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(i) conduct clinical trials for SLK including the ongoing Phase 3 clinical trials in HS, PsA and adolescent HS, the ongoing Phase 2</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4" w:name="page35"/>
    <w:bookmarkEnd w:id="34"/>
    <w:p>
      <w:pPr>
        <w:spacing w:after="0" w:line="54" w:lineRule="exact"/>
        <w:rPr>
          <w:sz w:val="20"/>
          <w:szCs w:val="20"/>
          <w:color w:val="auto"/>
        </w:rPr>
      </w:pPr>
    </w:p>
    <w:p>
      <w:pPr>
        <w:ind w:left="520"/>
        <w:spacing w:after="0" w:line="263" w:lineRule="auto"/>
        <w:rPr>
          <w:sz w:val="20"/>
          <w:szCs w:val="20"/>
          <w:color w:val="auto"/>
        </w:rPr>
      </w:pPr>
      <w:r>
        <w:rPr>
          <w:rFonts w:ascii="Times New Roman" w:cs="Times New Roman" w:eastAsia="Times New Roman" w:hAnsi="Times New Roman"/>
          <w:sz w:val="14"/>
          <w:szCs w:val="14"/>
          <w:color w:val="auto"/>
        </w:rPr>
        <w:t>clinical trial in PsA, potential future Phase 3 clinical trials in PPP and axSpA, and potential future clinical trials of SLK in other indications; (ii) attract, hire and retain additional clinical, scientific, quality control, and administrative personnel; and (iii) add clinical, operational, financial and management information systems and personnel.</w:t>
      </w:r>
    </w:p>
    <w:p>
      <w:pPr>
        <w:spacing w:after="0" w:line="1" w:lineRule="exact"/>
        <w:rPr>
          <w:sz w:val="20"/>
          <w:szCs w:val="20"/>
          <w:color w:val="auto"/>
        </w:rPr>
      </w:pPr>
    </w:p>
    <w:p>
      <w:pPr>
        <w:ind w:left="520" w:hanging="260"/>
        <w:spacing w:after="0" w:line="253"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Strengthening the differentiation elements for future SLK patients </w:t>
      </w:r>
      <w:r>
        <w:rPr>
          <w:rFonts w:ascii="Times New Roman" w:cs="Times New Roman" w:eastAsia="Times New Roman" w:hAnsi="Times New Roman"/>
          <w:sz w:val="14"/>
          <w:szCs w:val="14"/>
          <w:color w:val="auto"/>
        </w:rPr>
        <w:t>— In parallel with our clinical trials, we expect to incur additional research expenditures as we conduct non-clinical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research to continue refining our understanding of SLK/Nanobody biology and the potential impact in our selected therapeutic indications.</w:t>
      </w:r>
    </w:p>
    <w:p>
      <w:pPr>
        <w:jc w:val="both"/>
        <w:ind w:left="520" w:hanging="260"/>
        <w:spacing w:after="0" w:line="253"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Preparing for commercialization of SLK </w:t>
      </w:r>
      <w:r>
        <w:rPr>
          <w:rFonts w:ascii="Times New Roman" w:cs="Times New Roman" w:eastAsia="Times New Roman" w:hAnsi="Times New Roman"/>
          <w:sz w:val="14"/>
          <w:szCs w:val="14"/>
          <w:color w:val="auto"/>
        </w:rPr>
        <w:t>— We have started preparing the BLA to seek approval of SLK in the United States in HS and adolescent HS. We expect to incur significant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research and development and G&amp;A expenses in this process, as we make milestone and commercial payments under the In-License Agreement, dated April 29, 2021, by and between MoonLake AG and MHKDG (the “In-License Agreement”) (based on regulatory filing acceptances, first commercial sales, and aggregate annual net sales) and as we establish a sales, marketing and distribution infrastructure to commercialize SLK including establishing a presence in the United States. We expect to submit the BLA at the end of the third quarter of 2026 after completion of the VELA program, and, subject to FDA approval, we expect a commercial launch in the U.S. in the second half of 2027.</w:t>
      </w:r>
    </w:p>
    <w:p>
      <w:pPr>
        <w:jc w:val="both"/>
        <w:ind w:left="520" w:hanging="260"/>
        <w:spacing w:after="0" w:line="253"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Building our manufacturing capabilities </w:t>
      </w:r>
      <w:r>
        <w:rPr>
          <w:rFonts w:ascii="Times New Roman" w:cs="Times New Roman" w:eastAsia="Times New Roman" w:hAnsi="Times New Roman"/>
          <w:sz w:val="14"/>
          <w:szCs w:val="14"/>
          <w:color w:val="auto"/>
        </w:rPr>
        <w:t>— We do not own or operate manufacturing facilities, and currently have no plans to establish any. We partner with third-party CMOs for both drug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substance and finished drug product. We obtain our supplies from these manufacturers based on purchase orders. Therefore, we expect to incur research and development costs for the purchase of our supplies on an as needed basis to conduct our clinical trials. We have executed technology transfers for drug substance and drug product to commercial scale CMOs, and we have successfully manufactured Process Performance Qualification batches, but we may pursue additional technology transfers and process improvements. This is designed to allow us to scale up while SLK is in clinical development and advance potential commercial requirements. The improvement of our manufacturing capabilities will be important in driving efficiency, maintaining high standards of quality control, and ensuring that investigators, physicians, and patients have adequate access to our product candidates, if approved. We began stock-piling drug substance as pre-launch inventory during the third quarter of 2025 and expect to continue doing so throughout the rest of 2026.</w:t>
      </w:r>
    </w:p>
    <w:p>
      <w:pPr>
        <w:jc w:val="both"/>
        <w:ind w:left="520" w:hanging="260"/>
        <w:spacing w:after="0" w:line="253"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Deepening our intellectual property portfolio to support our Nanobody technology and product candidates </w:t>
      </w:r>
      <w:r>
        <w:rPr>
          <w:rFonts w:ascii="Times New Roman" w:cs="Times New Roman" w:eastAsia="Times New Roman" w:hAnsi="Times New Roman"/>
          <w:sz w:val="14"/>
          <w:szCs w:val="14"/>
          <w:color w:val="auto"/>
        </w:rPr>
        <w:t>— We expect to continue to incur additional research and development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expenditures as we continue extending our global intellectual property portfolio consisting of patents and patent applications, trade secrets, trademarks, and know-how to protect the product candidates developed from our Nanobody technology. We plan to expand our intellectual property portfolio as we continue to advance and develop existing product candidates.</w:t>
      </w:r>
    </w:p>
    <w:p>
      <w:pPr>
        <w:jc w:val="both"/>
        <w:ind w:left="520" w:hanging="260"/>
        <w:spacing w:after="0" w:line="253"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Broadening our portfolio </w:t>
      </w:r>
      <w:r>
        <w:rPr>
          <w:rFonts w:ascii="Times New Roman" w:cs="Times New Roman" w:eastAsia="Times New Roman" w:hAnsi="Times New Roman"/>
          <w:sz w:val="14"/>
          <w:szCs w:val="14"/>
          <w:color w:val="auto"/>
        </w:rPr>
        <w:t>— We believe that there are other indications beyond HS, PsA, axSpA and PPP where SLK has the potential to represent a differentiated therapeutic alternative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may initiate clinical trials of SLK in such other indications. In addition, to further enhance our overall potential and provide increased optionality, we may supplement our current strategy with the in-licensing or acquisition of additional product candidates for clinical development (beyond SLK), rather than discovering such candidates ourselves, which would lead to additional research and development expenses, G&amp;A expenses, and capital expenditures.</w:t>
      </w:r>
    </w:p>
    <w:p>
      <w:pPr>
        <w:ind w:left="520" w:hanging="260"/>
        <w:spacing w:after="0" w:line="266"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Granting share-based compensation awards and vesting of existing plans </w:t>
      </w:r>
      <w:r>
        <w:rPr>
          <w:rFonts w:ascii="Times New Roman" w:cs="Times New Roman" w:eastAsia="Times New Roman" w:hAnsi="Times New Roman"/>
          <w:sz w:val="14"/>
          <w:szCs w:val="14"/>
          <w:color w:val="auto"/>
        </w:rPr>
        <w:t>— We expect to continue to grant awards to selected employees, directors and non-employees pursuant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MoonLake Immunotherapeutics 2022 Equity Incentive Plan. Further, we expect to continue to incur share-based compensation charges in connection with this plan.</w:t>
      </w:r>
    </w:p>
    <w:p>
      <w:pPr>
        <w:spacing w:after="0" w:line="138"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We also expect to incur additional IT, legal, accounting, leasing, and other expenses as we continue to grow our business. Our net losses may fluctuate significantly from quarter-to-quarter and year-to-year, depending on the timing of our clinical trials and our expenditures on other research and development activities.</w:t>
      </w:r>
    </w:p>
    <w:p>
      <w:pPr>
        <w:spacing w:after="0" w:line="124"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We expect our existing cash and cash equivalents to be sufficient to advance the development of SLK in multiple indications, including the completion of all ongoing clinical trials and our planned Phase 3 clinical trial of SLK in PPP, to submit a BLA for SLK, and to advance preparations for a first commercial launch of SLK in the U.S.. Clinical development involves a lengthy and expensive process with uncertain outcomes and is subject to risks described in Item</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5" w:name="page36"/>
    <w:bookmarkEnd w:id="35"/>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1A. Risk Factors, in our Annual Report, including that our non-clinical studies or clinical trials may not be conducted as planned or completed on schedule and may not satisfy the requirements of the FDA, EMA, or other comparable foreign regulatory authorities. If we are required to conduct additional preclinical studies or clinical trials of SLK beyond those that we currently contemplate, if we are delayed or unable to successfully complete clinical trials of SLK or other testing, or if the results of these trials or tests are not positive or are only modestly positive or if there are safety concerns, we may require additional funding. Moreover, we will require additional capital to commercialize SLK and to discover, develop, obtain regulatory approval and commercialize any future product candidates, as applicable. We expect to finance future cash needs through public or private equity, additional debt, or product collaborations. Additional capital may not be available in sufficient amounts or on reasonable terms, if at all. The current market environment for small biotechnology companies, like us, and broader macroeconomic factors may preclude us from successfully raising additional capital.</w:t>
      </w:r>
    </w:p>
    <w:p>
      <w:pPr>
        <w:spacing w:after="0" w:line="147" w:lineRule="exact"/>
        <w:rPr>
          <w:sz w:val="20"/>
          <w:szCs w:val="20"/>
          <w:color w:val="auto"/>
        </w:rPr>
      </w:pPr>
    </w:p>
    <w:p>
      <w:pPr>
        <w:jc w:val="both"/>
        <w:ind w:firstLine="5"/>
        <w:spacing w:after="0" w:line="261" w:lineRule="auto"/>
        <w:rPr>
          <w:sz w:val="20"/>
          <w:szCs w:val="20"/>
          <w:color w:val="auto"/>
        </w:rPr>
      </w:pPr>
      <w:r>
        <w:rPr>
          <w:rFonts w:ascii="Times New Roman" w:cs="Times New Roman" w:eastAsia="Times New Roman" w:hAnsi="Times New Roman"/>
          <w:sz w:val="14"/>
          <w:szCs w:val="14"/>
          <w:color w:val="auto"/>
        </w:rPr>
        <w:t>If we do not raise additional capital, we may not be able to expand our operations or otherwise capitalize on our business opportunities, our business and financial condition will be negatively impacted and we may need to: significantly delay, scale back or discontinue research and discovery efforts and the development or commercialization of SLK or any other product candidates or cease operations altogether; seek strategic alliances for research and development programs when we otherwise would not, or at an earlier stage than we would otherwise desire or on terms less favorable than might otherwise be available; or relinquish, or license on unfavorable terms, our rights to technologies or SLK or any other product candidates that we otherwise would seek to develop or commercialize ourselves.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w:t>
      </w:r>
    </w:p>
    <w:p>
      <w:pPr>
        <w:spacing w:after="0" w:line="181"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Our functional currency is the U.S. dollar. Balances and transactions denominated in foreign currencies are converted as follows: monetary assets and liabilities are translated using exchange rates in effect at the balance sheet dates and non-monetary assets and liabilities are translated at historical exchange rates. Income and expenses are translated at the daily exchange rate on the respective transaction date.</w:t>
      </w:r>
    </w:p>
    <w:p>
      <w:pPr>
        <w:spacing w:after="0" w:line="136"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Gains or losses from foreign currency translations are included in the condensed consolidated statements of operations and comprehensive loss in “Other income, net”. We recognized a net foreign currency transaction gain of $56 thousand for the three months ended March 31, 2026, and a net foreign currency transaction loss of $35 thousand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6" w:name="page37"/>
    <w:bookmarkEnd w:id="36"/>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13486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Three Months Ended March 31,</w:t>
            </w:r>
          </w:p>
        </w:tc>
        <w:tc>
          <w:tcPr>
            <w:tcW w:w="80" w:type="dxa"/>
            <w:vAlign w:val="bottom"/>
          </w:tcPr>
          <w:p>
            <w:pPr>
              <w:spacing w:after="0"/>
              <w:rPr>
                <w:sz w:val="13"/>
                <w:szCs w:val="13"/>
                <w:color w:val="auto"/>
              </w:rPr>
            </w:pPr>
          </w:p>
        </w:tc>
        <w:tc>
          <w:tcPr>
            <w:tcW w:w="19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4"/>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 except percentages)</w:t>
            </w:r>
          </w:p>
        </w:tc>
        <w:tc>
          <w:tcPr>
            <w:tcW w:w="7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63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80" w:type="dxa"/>
            <w:vAlign w:val="bottom"/>
          </w:tcPr>
          <w:p>
            <w:pPr>
              <w:spacing w:after="0"/>
              <w:rPr>
                <w:sz w:val="15"/>
                <w:szCs w:val="15"/>
                <w:color w:val="auto"/>
              </w:rPr>
            </w:pP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Change %</w:t>
            </w:r>
          </w:p>
        </w:tc>
        <w:tc>
          <w:tcPr>
            <w:tcW w:w="160" w:type="dxa"/>
            <w:vAlign w:val="bottom"/>
          </w:tcPr>
          <w:p>
            <w:pPr>
              <w:spacing w:after="0"/>
              <w:rPr>
                <w:sz w:val="15"/>
                <w:szCs w:val="15"/>
                <w:color w:val="auto"/>
              </w:rPr>
            </w:pPr>
          </w:p>
        </w:tc>
      </w:tr>
      <w:tr>
        <w:trPr>
          <w:trHeight w:val="180"/>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r>
      <w:tr>
        <w:trPr>
          <w:trHeight w:val="201"/>
        </w:trPr>
        <w:tc>
          <w:tcPr>
            <w:tcW w:w="35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720" w:type="dxa"/>
            <w:vAlign w:val="bottom"/>
          </w:tcPr>
          <w:p>
            <w:pPr>
              <w:jc w:val="right"/>
              <w:ind w:right="553"/>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(54,515)</w:t>
            </w:r>
          </w:p>
        </w:tc>
        <w:tc>
          <w:tcPr>
            <w:tcW w:w="800" w:type="dxa"/>
            <w:vAlign w:val="bottom"/>
            <w:gridSpan w:val="2"/>
          </w:tcPr>
          <w:p>
            <w:pPr>
              <w:jc w:val="right"/>
              <w:ind w:right="536"/>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(36,459)</w:t>
            </w:r>
          </w:p>
        </w:tc>
        <w:tc>
          <w:tcPr>
            <w:tcW w:w="80" w:type="dxa"/>
            <w:vAlign w:val="bottom"/>
          </w:tcPr>
          <w:p>
            <w:pPr>
              <w:spacing w:after="0"/>
              <w:rPr>
                <w:sz w:val="17"/>
                <w:szCs w:val="17"/>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(18,056)</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3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2"/>
        </w:trPr>
        <w:tc>
          <w:tcPr>
            <w:tcW w:w="35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7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(15,509)</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(11,026)</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(4,483)</w:t>
            </w:r>
          </w:p>
        </w:tc>
        <w:tc>
          <w:tcPr>
            <w:tcW w:w="80" w:type="dxa"/>
            <w:vAlign w:val="bottom"/>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7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(70,024)</w:t>
            </w:r>
          </w:p>
        </w:tc>
        <w:tc>
          <w:tcPr>
            <w:tcW w:w="8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(47,485)</w:t>
            </w:r>
          </w:p>
        </w:tc>
        <w:tc>
          <w:tcPr>
            <w:tcW w:w="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(22,539)</w:t>
            </w:r>
          </w:p>
        </w:tc>
        <w:tc>
          <w:tcPr>
            <w:tcW w:w="80" w:type="dxa"/>
            <w:vAlign w:val="bottom"/>
          </w:tcPr>
          <w:p>
            <w:pPr>
              <w:spacing w:after="0"/>
              <w:rPr>
                <w:sz w:val="14"/>
                <w:szCs w:val="14"/>
                <w:color w:val="auto"/>
              </w:rPr>
            </w:pPr>
          </w:p>
        </w:tc>
        <w:tc>
          <w:tcPr>
            <w:tcW w:w="1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47.5 %</w:t>
            </w:r>
          </w:p>
        </w:tc>
      </w:tr>
      <w:tr>
        <w:trPr>
          <w:trHeight w:val="32"/>
        </w:trPr>
        <w:tc>
          <w:tcPr>
            <w:tcW w:w="3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60" w:type="dxa"/>
            <w:vAlign w:val="bottom"/>
            <w:gridSpan w:val="3"/>
          </w:tcPr>
          <w:p>
            <w:pPr>
              <w:spacing w:after="0"/>
              <w:rPr>
                <w:sz w:val="2"/>
                <w:szCs w:val="2"/>
                <w:color w:val="auto"/>
              </w:rPr>
            </w:pPr>
          </w:p>
        </w:tc>
      </w:tr>
      <w:tr>
        <w:trPr>
          <w:trHeight w:val="193"/>
        </w:trPr>
        <w:tc>
          <w:tcPr>
            <w:tcW w:w="3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(70,024)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(47,485)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(22,539)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9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47.5 %</w:t>
            </w:r>
          </w:p>
        </w:tc>
      </w:tr>
      <w:tr>
        <w:trPr>
          <w:trHeight w:val="212"/>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Interest expense</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35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Other income, net</w:t>
            </w:r>
          </w:p>
        </w:tc>
        <w:tc>
          <w:tcPr>
            <w:tcW w:w="7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3,208</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(3,889)</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(54.8) %</w:t>
            </w:r>
          </w:p>
        </w:tc>
      </w:tr>
      <w:tr>
        <w:trPr>
          <w:trHeight w:val="22"/>
        </w:trPr>
        <w:tc>
          <w:tcPr>
            <w:tcW w:w="3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r>
      <w:tr>
        <w:trPr>
          <w:trHeight w:val="22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(69,085)</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(40,406)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(28,679)</w:t>
            </w:r>
          </w:p>
        </w:tc>
        <w:tc>
          <w:tcPr>
            <w:tcW w:w="8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71.0 %</w:t>
            </w:r>
          </w:p>
        </w:tc>
      </w:tr>
      <w:tr>
        <w:trPr>
          <w:trHeight w:val="212"/>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r>
      <w:tr>
        <w:trPr>
          <w:trHeight w:val="232"/>
        </w:trPr>
        <w:tc>
          <w:tcPr>
            <w:tcW w:w="35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Income tax expense</w:t>
            </w:r>
          </w:p>
        </w:tc>
        <w:tc>
          <w:tcPr>
            <w:tcW w:w="7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80" w:type="dxa"/>
            <w:vAlign w:val="bottom"/>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80" w:type="dxa"/>
            <w:vAlign w:val="bottom"/>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7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(69,707)</w:t>
            </w:r>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(40,559)</w:t>
            </w: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(29,148)</w:t>
            </w:r>
          </w:p>
        </w:tc>
        <w:tc>
          <w:tcPr>
            <w:tcW w:w="80" w:type="dxa"/>
            <w:vAlign w:val="bottom"/>
          </w:tcPr>
          <w:p>
            <w:pPr>
              <w:spacing w:after="0"/>
              <w:rPr>
                <w:sz w:val="15"/>
                <w:szCs w:val="15"/>
                <w:color w:val="auto"/>
              </w:rPr>
            </w:pPr>
          </w:p>
        </w:tc>
        <w:tc>
          <w:tcPr>
            <w:tcW w:w="1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71.9 %</w:t>
            </w:r>
          </w:p>
        </w:tc>
      </w:tr>
      <w:tr>
        <w:trPr>
          <w:trHeight w:val="22"/>
        </w:trPr>
        <w:tc>
          <w:tcPr>
            <w:tcW w:w="3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73"/>
        </w:trPr>
        <w:tc>
          <w:tcPr>
            <w:tcW w:w="3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bl>
    <w:p>
      <w:pPr>
        <w:spacing w:after="0" w:line="7" w:lineRule="exact"/>
        <w:rPr>
          <w:sz w:val="20"/>
          <w:szCs w:val="20"/>
          <w:color w:val="auto"/>
        </w:rPr>
      </w:pPr>
    </w:p>
    <w:p>
      <w:pPr>
        <w:sectPr>
          <w:pgSz w:w="11900" w:h="16838" w:orient="portrait"/>
          <w:cols w:equalWidth="0" w:num="1">
            <w:col w:w="11280"/>
          </w:cols>
          <w:pgMar w:left="300" w:top="1440" w:right="319" w:bottom="1440" w:gutter="0" w:footer="0" w:header="0"/>
        </w:sectPr>
      </w:pPr>
    </w:p>
    <w:p>
      <w:pPr>
        <w:ind w:left="520" w:right="740"/>
        <w:spacing w:after="0" w:line="287" w:lineRule="auto"/>
        <w:rPr>
          <w:sz w:val="20"/>
          <w:szCs w:val="20"/>
          <w:color w:val="auto"/>
        </w:rPr>
      </w:pPr>
      <w:r>
        <w:rPr>
          <w:rFonts w:ascii="Times New Roman" w:cs="Times New Roman" w:eastAsia="Times New Roman" w:hAnsi="Times New Roman"/>
          <w:sz w:val="14"/>
          <w:szCs w:val="14"/>
          <w:color w:val="auto"/>
        </w:rPr>
        <w:t>Net unrealized gain (loss) on marketable securities and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3402330" cy="141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02330" cy="141605"/>
                    </a:xfrm>
                    <a:prstGeom prst="rect">
                      <a:avLst/>
                    </a:prstGeom>
                    <a:noFill/>
                  </pic:spPr>
                </pic:pic>
              </a:graphicData>
            </a:graphic>
          </wp:anchor>
        </w:drawing>
      </w:r>
    </w:p>
    <w:p>
      <w:pPr>
        <w:ind w:left="20" w:right="1180" w:firstLine="255"/>
        <w:spacing w:after="0" w:line="346" w:lineRule="auto"/>
        <w:rPr>
          <w:sz w:val="20"/>
          <w:szCs w:val="20"/>
          <w:color w:val="auto"/>
        </w:rPr>
      </w:pPr>
      <w:r>
        <w:rPr>
          <w:rFonts w:ascii="Times New Roman" w:cs="Times New Roman" w:eastAsia="Times New Roman" w:hAnsi="Times New Roman"/>
          <w:sz w:val="14"/>
          <w:szCs w:val="14"/>
          <w:color w:val="auto"/>
        </w:rPr>
        <w:t xml:space="preserve">Actuarial gain (loss) on employee benefit plans </w:t>
      </w:r>
      <w:r>
        <w:rPr>
          <w:rFonts w:ascii="Times New Roman" w:cs="Times New Roman" w:eastAsia="Times New Roman" w:hAnsi="Times New Roman"/>
          <w:sz w:val="14"/>
          <w:szCs w:val="14"/>
          <w:b w:val="1"/>
          <w:bCs w:val="1"/>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3402330" cy="161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02330" cy="161925"/>
                    </a:xfrm>
                    <a:prstGeom prst="rect">
                      <a:avLst/>
                    </a:prstGeom>
                    <a:noFill/>
                  </pic:spPr>
                </pic:pic>
              </a:graphicData>
            </a:graphic>
          </wp:anchor>
        </w:drawing>
      </w:r>
    </w:p>
    <w:p>
      <w:pPr>
        <w:ind w:left="20"/>
        <w:spacing w:after="0"/>
        <w:tabs>
          <w:tab w:leader="none" w:pos="3560" w:val="left"/>
        </w:tabs>
        <w:rPr>
          <w:sz w:val="20"/>
          <w:szCs w:val="20"/>
          <w:color w:val="auto"/>
        </w:rPr>
      </w:pPr>
      <w:r>
        <w:rPr>
          <w:rFonts w:ascii="Times New Roman" w:cs="Times New Roman" w:eastAsia="Times New Roman" w:hAnsi="Times New Roman"/>
          <w:sz w:val="14"/>
          <w:szCs w:val="14"/>
          <w:b w:val="1"/>
          <w:bCs w:val="1"/>
          <w:color w:val="auto"/>
        </w:rPr>
        <w:t>Comprehensive loss</w:t>
      </w:r>
      <w:r>
        <w:rPr>
          <w:sz w:val="20"/>
          <w:szCs w:val="20"/>
          <w:color w:val="auto"/>
        </w:rPr>
        <w:tab/>
      </w: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(2,756)</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(102.8) %</w:t>
            </w:r>
          </w:p>
        </w:tc>
        <w:tc>
          <w:tcPr>
            <w:tcW w:w="0" w:type="dxa"/>
            <w:vAlign w:val="bottom"/>
          </w:tcPr>
          <w:p>
            <w:pPr>
              <w:spacing w:after="0"/>
              <w:rPr>
                <w:sz w:val="1"/>
                <w:szCs w:val="1"/>
                <w:color w:val="auto"/>
              </w:rPr>
            </w:pPr>
          </w:p>
        </w:tc>
      </w:tr>
      <w:tr>
        <w:trPr>
          <w:trHeight w:val="117"/>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(477.9) %</w:t>
            </w:r>
          </w:p>
        </w:tc>
        <w:tc>
          <w:tcPr>
            <w:tcW w:w="0" w:type="dxa"/>
            <w:vAlign w:val="bottom"/>
          </w:tcPr>
          <w:p>
            <w:pPr>
              <w:spacing w:after="0"/>
              <w:rPr>
                <w:sz w:val="1"/>
                <w:szCs w:val="1"/>
                <w:color w:val="auto"/>
              </w:rPr>
            </w:pPr>
          </w:p>
        </w:tc>
      </w:tr>
      <w:tr>
        <w:trPr>
          <w:trHeight w:val="172"/>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(282)</w:t>
            </w:r>
          </w:p>
        </w:tc>
        <w:tc>
          <w:tcPr>
            <w:tcW w:w="8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(2,661)</w:t>
            </w:r>
          </w:p>
        </w:tc>
        <w:tc>
          <w:tcPr>
            <w:tcW w:w="8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2,379</w:t>
            </w:r>
          </w:p>
        </w:tc>
        <w:tc>
          <w:tcPr>
            <w:tcW w:w="80" w:type="dxa"/>
            <w:vAlign w:val="bottom"/>
          </w:tcPr>
          <w:p>
            <w:pPr>
              <w:spacing w:after="0"/>
              <w:rPr>
                <w:sz w:val="14"/>
                <w:szCs w:val="14"/>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(89.4)%</w:t>
            </w:r>
          </w:p>
        </w:tc>
        <w:tc>
          <w:tcPr>
            <w:tcW w:w="0" w:type="dxa"/>
            <w:vAlign w:val="bottom"/>
          </w:tcPr>
          <w:p>
            <w:pPr>
              <w:spacing w:after="0"/>
              <w:rPr>
                <w:sz w:val="1"/>
                <w:szCs w:val="1"/>
                <w:color w:val="auto"/>
              </w:rPr>
            </w:pPr>
          </w:p>
        </w:tc>
      </w:tr>
      <w:tr>
        <w:trPr>
          <w:trHeight w:val="32"/>
        </w:trPr>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(69,989)</w:t>
            </w:r>
          </w:p>
        </w:tc>
        <w:tc>
          <w:tcPr>
            <w:tcW w:w="80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00" w:type="dxa"/>
            <w:vAlign w:val="bottom"/>
            <w:vMerge w:val="continue"/>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(43,220)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(26,769)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61.9 %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-838835</wp:posOffset>
            </wp:positionH>
            <wp:positionV relativeFrom="paragraph">
              <wp:posOffset>-6350</wp:posOffset>
            </wp:positionV>
            <wp:extent cx="115887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58875" cy="6985"/>
                    </a:xfrm>
                    <a:prstGeom prst="rect">
                      <a:avLst/>
                    </a:prstGeom>
                    <a:noFill/>
                  </pic:spPr>
                </pic:pic>
              </a:graphicData>
            </a:graphic>
          </wp:anchor>
        </w:drawing>
        <w:drawing>
          <wp:anchor simplePos="0" relativeHeight="251657728" behindDoc="1" locked="0" layoutInCell="0" allowOverlap="1">
            <wp:simplePos x="0" y="0"/>
            <wp:positionH relativeFrom="column">
              <wp:posOffset>-838835</wp:posOffset>
            </wp:positionH>
            <wp:positionV relativeFrom="paragraph">
              <wp:posOffset>-322580</wp:posOffset>
            </wp:positionV>
            <wp:extent cx="115887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5887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720"/>
            <w:col w:w="6420"/>
          </w:cols>
          <w:pgMar w:left="300" w:top="1440" w:right="31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81" w:lineRule="exact"/>
        <w:rPr>
          <w:sz w:val="20"/>
          <w:szCs w:val="20"/>
          <w:color w:val="auto"/>
        </w:rPr>
      </w:pPr>
    </w:p>
    <w:p>
      <w:pPr>
        <w:jc w:val="both"/>
        <w:ind w:firstLine="5"/>
        <w:spacing w:after="0" w:line="264" w:lineRule="auto"/>
        <w:rPr>
          <w:sz w:val="20"/>
          <w:szCs w:val="20"/>
          <w:color w:val="auto"/>
        </w:rPr>
      </w:pPr>
      <w:r>
        <w:rPr>
          <w:rFonts w:ascii="Times New Roman" w:cs="Times New Roman" w:eastAsia="Times New Roman" w:hAnsi="Times New Roman"/>
          <w:sz w:val="14"/>
          <w:szCs w:val="14"/>
          <w:color w:val="auto"/>
        </w:rPr>
        <w:t>Research and development expenses were $54.5 million for the three months ended March 31, 2026, compared to $36.5 million for the three months ended March 31, 2025. The increase of $18.1 million, or 49.5%, is primarily related to an increase of $6.5 million in manufacturing, supply and logistics expenses through CMOs, which is primarily related to the production of stockpiled pre-launch inventory, an increase of $6.3 million in accelerated expense recognition due to a voluntary cancellation of unvested stock option awards for no consideration, and an increase of $5.4 million in expenses pertaining to clinical development trials with CROs, including the Phase 3 VELA program in HS and the Phase 3 IZAR program in PsA.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181"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General and administrative expenses were $15.5 million for the three months ended March 31, 2026, compared to $11.0 million for the three months ended March 31, 2025. The increase of $4.5 million, or 40.7%, is primarily related to an increase of $4.8 million in accelerated expense recognition due to a voluntary cancellation of unvested stock option awards for no consideration, and an increase of $0.6 million in additional personnel-related costs. The increase was partially offset by a decrease of $0.6 million in advisory and professional services.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type w:val="continuous"/>
        </w:sectPr>
      </w:pPr>
    </w:p>
    <w:bookmarkStart w:id="37" w:name="page38"/>
    <w:bookmarkEnd w:id="37"/>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Interest expense was $2.3 million for the three months ended March 31, 2026, compared to $18 thousand for the three months ended March 31, 2025. The increase of $2.3 million is related to additional recognized interest on the First Amended Loan and Security Agreement and drawdown of a second debt tranche.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 Net</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income, net was $3.2 million for the three months ended March 31, 2026, compared to $7.1 million for the three months ended March 31, 2025. The decrease of $3.9 million, or (54.8)%, is primarily related to a decrease of $4.2 million in realized interest on cash held in bank and cash investments in short-term marketable debt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Comprehensive Loss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Other comprehensive loss was $0.3 million for the three months ended March 31, 2026, compared to $2.7 million for the three months ended March 31, 2025. The decrease of $2.4 million, or (89.4)%, is primarily related to the unrealized gains from investments in short-term marketable debt securities recorded in accumulated other comprehensive income to other income, net during the three months ended March 31, 2026.</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no products approved for commercial sale, have not generated any revenue from product sales, and cannot guarantee when or if we will generate any revenue from product sales.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expect our expenses and capital requirements to remain consistent with our current spending levels as we continue to:</w:t>
      </w:r>
    </w:p>
    <w:p>
      <w:pPr>
        <w:spacing w:after="0" w:line="23" w:lineRule="exact"/>
        <w:rPr>
          <w:sz w:val="20"/>
          <w:szCs w:val="20"/>
          <w:color w:val="auto"/>
        </w:rPr>
      </w:pPr>
    </w:p>
    <w:p>
      <w:pPr>
        <w:ind w:left="520" w:hanging="260"/>
        <w:spacing w:after="0" w:line="253"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with third parties, including CROs and CMOs, to support the clinical trials of SLK, including trials in HS, PsA, adolescent HS, PPP and axSpA, and to produce pre-launch inventory;</w:t>
      </w:r>
    </w:p>
    <w:p>
      <w:pPr>
        <w:spacing w:after="0" w:line="16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other research and development activities related to SLK;</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prepare for regulatory filing and commercialization of SLK;</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hire and retain additional management, scientific and administrative personnel;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protect and expand our intellectual property portfolio, including patents, trade secrets and know how;</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 operational, financial and management information systems;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operate as a public company.</w:t>
      </w:r>
    </w:p>
    <w:p>
      <w:pPr>
        <w:spacing w:after="0" w:line="164" w:lineRule="exact"/>
        <w:rPr>
          <w:sz w:val="20"/>
          <w:szCs w:val="20"/>
          <w:color w:val="auto"/>
        </w:rPr>
      </w:pPr>
    </w:p>
    <w:p>
      <w:pPr>
        <w:jc w:val="both"/>
        <w:ind w:firstLine="5"/>
        <w:spacing w:after="0" w:line="264" w:lineRule="auto"/>
        <w:rPr>
          <w:sz w:val="20"/>
          <w:szCs w:val="20"/>
          <w:color w:val="auto"/>
        </w:rPr>
      </w:pPr>
      <w:r>
        <w:rPr>
          <w:rFonts w:ascii="Times New Roman" w:cs="Times New Roman" w:eastAsia="Times New Roman" w:hAnsi="Times New Roman"/>
          <w:sz w:val="14"/>
          <w:szCs w:val="14"/>
          <w:color w:val="auto"/>
        </w:rPr>
        <w:t>For the three months ended March 31, 2026, we incurred a loss of $69.7 million, which includes non-cash items such as share-based compensation expense of $13.4 million, and cash outflow from operations of $66.3 million. As of March 31, 2026, we had a total of $357.9 million in cash, cash equivalents and short-term marketable securities. Based on our current operating plan and proceeds received from the issuance of Class A ordinary shares under the Sales Agreement (as defined below) subsequent to the reporting period, we believe our available cash, cash equivalents, and short-term marketable securities will be sufficient to fund our operating expenses and capital expenditure requirements to the end of 2027.</w:t>
      </w:r>
    </w:p>
    <w:p>
      <w:pPr>
        <w:spacing w:after="0" w:line="140" w:lineRule="exact"/>
        <w:rPr>
          <w:sz w:val="20"/>
          <w:szCs w:val="20"/>
          <w:color w:val="auto"/>
        </w:rPr>
      </w:pPr>
    </w:p>
    <w:p>
      <w:pPr>
        <w:jc w:val="both"/>
        <w:ind w:firstLine="5"/>
        <w:spacing w:after="0" w:line="259" w:lineRule="auto"/>
        <w:rPr>
          <w:sz w:val="20"/>
          <w:szCs w:val="20"/>
          <w:color w:val="auto"/>
        </w:rPr>
      </w:pPr>
      <w:r>
        <w:rPr>
          <w:rFonts w:ascii="Times New Roman" w:cs="Times New Roman" w:eastAsia="Times New Roman" w:hAnsi="Times New Roman"/>
          <w:sz w:val="14"/>
          <w:szCs w:val="14"/>
          <w:color w:val="auto"/>
        </w:rPr>
        <w:t>We expect to incur notable expenses and operating losses for at least the next two years, assuming we continue the clinical development of, and seek regulatory approval for, SLK, and as we invest in its commercial launch. It is expected that operating losses will fluctuate significantly from year-to-year due to the timing of clinical development programs, efforts to achieve regulatory approval, and sales and marketing efforts. We may require additional funding to bring our product candidate to market and support our continuing operations. In addition, with a change in the presidential administration in 2025, there has been an economic policy shift towards increasing tariffs, which in turn has led and could lead to further retaliatory tariffs. These may have the potential to impact expenses as well as our ability to, if ever, generate revenue or maintain profitability. Until such time that we can generate significant revenue from product sales or other sources, if ever, we expect to finance our operations through the sale of equity, debt financings, or other capital sources, which may include income from collaborations, strategic partnerships, or marketing, distribution,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8" w:name="page39"/>
    <w:bookmarkEnd w:id="38"/>
    <w:p>
      <w:pPr>
        <w:spacing w:after="0" w:line="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licensing or other strategic arrangements with third parties, or from grants. If we are unable to acquire additional capital or resources, we will be required to modify our operational plans to fund our operating expense requirements. Refer to </w:t>
      </w:r>
      <w:r>
        <w:rPr>
          <w:rFonts w:ascii="Times New Roman" w:cs="Times New Roman" w:eastAsia="Times New Roman" w:hAnsi="Times New Roman"/>
          <w:sz w:val="14"/>
          <w:szCs w:val="14"/>
          <w:i w:val="1"/>
          <w:iCs w:val="1"/>
          <w:color w:val="auto"/>
        </w:rPr>
        <w:t>“Risk Factors — Risks Related to Our Limited Operating History, Business, Financial Condition, and Results of Operations”</w:t>
      </w:r>
      <w:r>
        <w:rPr>
          <w:rFonts w:ascii="Times New Roman" w:cs="Times New Roman" w:eastAsia="Times New Roman" w:hAnsi="Times New Roman"/>
          <w:sz w:val="14"/>
          <w:szCs w:val="14"/>
          <w:color w:val="auto"/>
        </w:rPr>
        <w:t xml:space="preserve"> in Item 1A. of our Annual Report for further details related to the risk of raising additional capital to fund our operations.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 Loan Facility</w:t>
      </w:r>
    </w:p>
    <w:p>
      <w:pPr>
        <w:spacing w:after="0" w:line="181"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In March 2025, we entered into a loan and security agreement (the “Original Loan and Security Agreement”) with Hercules Capital, Inc. (“Hercules”) and certain of its affiliates (collectively with Hercules, the “Lenders”) comprised of five tranches for an aggregate principal amount of $500.0 million, of which $300.0 million was fully committed subject to achievement of milestones (the “Original Credit Facility”). An initial tranche of $75.0 million (the “Tranche 1 Loan”) was funded under the Loan and Security Agreement on March 31, 2025 (the “Closing Date”).</w:t>
      </w:r>
    </w:p>
    <w:p>
      <w:pPr>
        <w:spacing w:after="0" w:line="136" w:lineRule="exact"/>
        <w:rPr>
          <w:sz w:val="20"/>
          <w:szCs w:val="20"/>
          <w:color w:val="auto"/>
        </w:rPr>
      </w:pPr>
    </w:p>
    <w:p>
      <w:pPr>
        <w:jc w:val="both"/>
        <w:ind w:firstLine="5"/>
        <w:spacing w:after="0" w:line="261" w:lineRule="auto"/>
        <w:rPr>
          <w:sz w:val="20"/>
          <w:szCs w:val="20"/>
          <w:color w:val="auto"/>
        </w:rPr>
      </w:pPr>
      <w:r>
        <w:rPr>
          <w:rFonts w:ascii="Times New Roman" w:cs="Times New Roman" w:eastAsia="Times New Roman" w:hAnsi="Times New Roman"/>
          <w:sz w:val="14"/>
          <w:szCs w:val="14"/>
          <w:color w:val="auto"/>
        </w:rPr>
        <w:t>On February 20, 2026 (the “Amendment Closing Date”), we executed the First Amendment to the Loan and Security Agreement (the “First Amended Loan and Security Agreement” and, together with the Original Loan and Security Agreement, the “Loan and Security Agreement”) with, among others, Hercules, as administrative and collateral agent for the Lenders, which amended the Original Loan and Security Agreement. The Loan and Security Agreement provides for a non-dilutive senior secured term loan facility comprised of six tranches in the aggregate principal amount of $500.0 million (the “Amended Credit Facility” and, together with the Original Credit Facility, the “Credit Facility”). A second tranche (the “Tranche 2 Loan”) in an aggregate principal amount of $25.0 million was fully funded on the Amendment Closing Date. In addition to the Tranche 1 Loan and Tranche 2 Loan, the Credit Facility provides for additional tranches as follows:</w:t>
      </w:r>
    </w:p>
    <w:p>
      <w:pPr>
        <w:spacing w:after="0" w:line="143" w:lineRule="exact"/>
        <w:rPr>
          <w:sz w:val="20"/>
          <w:szCs w:val="20"/>
          <w:color w:val="auto"/>
        </w:rPr>
      </w:pPr>
    </w:p>
    <w:p>
      <w:pPr>
        <w:jc w:val="both"/>
        <w:ind w:left="520" w:hanging="260"/>
        <w:spacing w:after="0" w:line="267" w:lineRule="auto"/>
        <w:tabs>
          <w:tab w:leader="none" w:pos="5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our announcement that the IZAR-1 and IZAR-2 Phase 3 studies of SLK in patients with active psoriatic arthritis each achieved their protocol-specified primary endpoint and that the efficacy and safety data available together support the planned commercialization strategy and outlook of our Company (the “Tranche 3 Milestone”), a third tranche with additional term loans in an aggregate principal amount of up to $50.0 million, available on the Tranche 3 Milestone achievement date through the earlier of (i) 60 days following such date and (ii) March 15, 2027,</w:t>
      </w:r>
    </w:p>
    <w:p>
      <w:pPr>
        <w:spacing w:after="0" w:line="155" w:lineRule="exact"/>
        <w:rPr>
          <w:rFonts w:ascii="Times New Roman" w:cs="Times New Roman" w:eastAsia="Times New Roman" w:hAnsi="Times New Roman"/>
          <w:sz w:val="14"/>
          <w:szCs w:val="14"/>
          <w:color w:val="auto"/>
        </w:rPr>
      </w:pPr>
    </w:p>
    <w:p>
      <w:pPr>
        <w:jc w:val="both"/>
        <w:ind w:left="520" w:hanging="260"/>
        <w:spacing w:after="0" w:line="253"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our announcement that the VELA-1 and VELA-2 Phase 3 studies of SLK in adult patients with moderate to severe hidradenitis suppurativa each demonstrated clinically meaningful improvements across the 52-week endpoints with SLK having demonstrated an acceptable safety profile, which together support (x) the planned commercialization strategy and outlook of our Company and (y) the filing of the BLA for SLK with the FDA for an indication for use generally consistent with the population studied in VELA-1 and VELA-2 of patients with moderate to severe hidradenitis suppurativa as the next immediate step in development (together, the “Tranche 4 HS Milestone”), and immediately prior to the advance a fourth tranche, we have closed the previous 10 consecutive trading days with a market capitalization of at least $1,500.0 million; provided that, the first trading day tested cannot be prior to the public announcement of the Tranche 4 HS Milestone (collectively with the Tranche 4 HS Milestone, the “Amended Tranche 4 Milestone”), this fourth tranche with additional term loans in an aggregate principal amount of up to $50.0 million, available on the Amended Tranche 4 Milestone achievement date through the earlier of (i) 60 days following the achievement of the Tranche 4 HS Milestone and (ii) December 15, 2026,</w:t>
      </w:r>
    </w:p>
    <w:p>
      <w:pPr>
        <w:jc w:val="both"/>
        <w:ind w:left="520" w:hanging="260"/>
        <w:spacing w:after="0" w:line="249" w:lineRule="auto"/>
        <w:tabs>
          <w:tab w:leader="none" w:pos="5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our achievement of the Tranche 4 HS Milestone and the FDA’s approval of our submission of a BLA for SLK with an indication for use generally consistent with that sought in our BLA filing with the FDA and which supports the target product profile for SLK (the “Approval Milestone”) (collectively, the “Tranche 5 Milestone”), a fifth tranche with additional term loans in an aggregate principal amount of up to $100.0 million, available on the Tranche 5 Milestone achievement date through the earlier of (i) 60 days following such date and (ii) December 15, 2027, and</w:t>
      </w:r>
    </w:p>
    <w:p>
      <w:pPr>
        <w:spacing w:after="0" w:line="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approval by the Lenders’ in their discretion, a sixth tranche of additional term loans in an aggregate principal amount of up to $200.0 million.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9" w:name="page40"/>
    <w:bookmarkEnd w:id="39"/>
    <w:p>
      <w:pPr>
        <w:spacing w:after="0" w:line="54"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The Amended Credit Facility matures on April 1, 2030 (the “Maturity Date”) and bears interest at an annual rate equal to the greater of (i) prime rate as reported in The Wall Street Journal plus 1.45% and (ii) 8.45% with the initial interest rate equal to 8.95%. As of March 31, 2026, the Amended Credit Facility bears interest at 8.45%. This rate is subject to a 0.25% reduction upon achievement of the Approval Milestone. Certain additional commitment and undrawn amount fees are also payable in connection with the Amended Credit Facility.</w:t>
      </w:r>
    </w:p>
    <w:p>
      <w:pPr>
        <w:spacing w:after="0" w:line="136" w:lineRule="exact"/>
        <w:rPr>
          <w:sz w:val="20"/>
          <w:szCs w:val="20"/>
          <w:color w:val="auto"/>
        </w:rPr>
      </w:pPr>
    </w:p>
    <w:p>
      <w:pPr>
        <w:jc w:val="both"/>
        <w:ind w:firstLine="5"/>
        <w:spacing w:after="0" w:line="264" w:lineRule="auto"/>
        <w:rPr>
          <w:sz w:val="20"/>
          <w:szCs w:val="20"/>
          <w:color w:val="auto"/>
        </w:rPr>
      </w:pPr>
      <w:r>
        <w:rPr>
          <w:rFonts w:ascii="Times New Roman" w:cs="Times New Roman" w:eastAsia="Times New Roman" w:hAnsi="Times New Roman"/>
          <w:sz w:val="14"/>
          <w:szCs w:val="14"/>
          <w:color w:val="auto"/>
        </w:rPr>
        <w:t>The Amended Credit Facility does not provide for scheduled amortization payments during the term. All principal will be due on the Maturity Date. We may, at our option at any time, prepay all loans under the Amended Credit Facility by paying the principal balance, plus accrued and unpaid interest, subject to (i) a prepayment premium equal to a range of 0.0% to 2.0% and (ii) an end of term charge equal to a range of 4.25% to 6.95%, each based on when the prepayment occurs. If the Amended Credit Facility is repaid in full as a result of a change of our control, the prepayment premium shall be waived.</w:t>
      </w:r>
    </w:p>
    <w:p>
      <w:pPr>
        <w:spacing w:after="0" w:line="140"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The First Amended Loan and Security Agreement allows for us to satisfy a portion of the cash interest payments by capitalizing such interest payments as payment-in-kind (“PIK”). No PIK interest relating to the term loans has been recorded and included in the condensed consolidated balance sheets as of March 31, 2026.</w:t>
      </w:r>
    </w:p>
    <w:p>
      <w:pPr>
        <w:spacing w:after="0" w:line="124"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The First Amended Loan and Security Agreement contains customary covenants, such as financial covenants and certain events of default after which loans under the Amended Credit Facility may be due and payable immediately. We were in compliance with all covenants as of March 31, 2026.</w:t>
      </w:r>
    </w:p>
    <w:p>
      <w:pPr>
        <w:spacing w:after="0" w:line="124"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All obligations under the First Amended Loan and Security Agreement are secured on a first-priority basis, subject to certain exceptions, by security interests in substantially all of our assets and our material subsidiaries, including our intellectual property, and are guaranteed by our material subsidiaries, including foreign subsidiaries, subject to certain exceptions.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permitted to use the proceeds of the Amended Credit Facility for working capital and general corporate purposes of us and our subsidiaries.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Offerings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At-the-Market Offerings</w:t>
      </w:r>
    </w:p>
    <w:p>
      <w:pPr>
        <w:spacing w:after="0" w:line="181" w:lineRule="exact"/>
        <w:rPr>
          <w:sz w:val="20"/>
          <w:szCs w:val="20"/>
          <w:color w:val="auto"/>
        </w:rPr>
      </w:pPr>
    </w:p>
    <w:p>
      <w:pPr>
        <w:jc w:val="both"/>
        <w:ind w:firstLine="5"/>
        <w:spacing w:after="0" w:line="264" w:lineRule="auto"/>
        <w:rPr>
          <w:sz w:val="20"/>
          <w:szCs w:val="20"/>
          <w:color w:val="auto"/>
        </w:rPr>
      </w:pPr>
      <w:r>
        <w:rPr>
          <w:rFonts w:ascii="Times New Roman" w:cs="Times New Roman" w:eastAsia="Times New Roman" w:hAnsi="Times New Roman"/>
          <w:sz w:val="14"/>
          <w:szCs w:val="14"/>
          <w:color w:val="auto"/>
        </w:rPr>
        <w:t>On August 31, 2023, we entered into a Sales Agreement with Leerink Partners (the “Sales Agreement”) through which we could issue and sell up to $350.0 million of our Class A Ordinary Shares (the “ATM Shares”), through Leerink Partners as our sales agent. The ATM Shares to be sold under the Sales Agreement are issued and sold pursuant to our shelf registration statement on Form S-3 (File No. 333-274286), which was declared effective by the SEC on September 11, 2023, and a prospectus supplement thereto filed with the SEC on August 31, 2023. As of March 31, 2026, there was $258.8 million remaining for future sales under the Sales Agreement.</w:t>
      </w:r>
    </w:p>
    <w:p>
      <w:pPr>
        <w:spacing w:after="0" w:line="140"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2026, we sold 336,559 Class A Ordinary Shares under the Sales Agreement at a weighted average share price of $18.28, for aggregate net proceeds of approximately $6.0 million, after deducting sales agent's commissions and transaction costs. For the three months ended March 31, 2025, there were no sales under the Sales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Public Offering of Class A Ordinary Shares</w:t>
      </w:r>
    </w:p>
    <w:p>
      <w:pPr>
        <w:spacing w:after="0" w:line="181"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On November 5, 2025, we entered into an underwriting agreement with Leerink Partners as the underwriter, to issue and sell 7,142,857 Class A Ordinary Shares at a public offering price of $10.50 per share (the “2025 Offering”). The 2025 Offering closed on November 6, 2025, and net proceeds were $72.4 million, after deducting the underwriting discounts, commissions, and offering expenses in the amount of $2.6 million.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40" w:name="page41"/>
    <w:bookmarkEnd w:id="40"/>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indicated.</w:t>
      </w:r>
    </w:p>
    <w:p>
      <w:pPr>
        <w:spacing w:after="0" w:line="223" w:lineRule="exact"/>
        <w:rPr>
          <w:sz w:val="20"/>
          <w:szCs w:val="20"/>
          <w:color w:val="auto"/>
        </w:rPr>
      </w:pPr>
    </w:p>
    <w:p>
      <w:pPr>
        <w:ind w:left="3580"/>
        <w:spacing w:after="0"/>
        <w:tabs>
          <w:tab w:leader="none" w:pos="5500" w:val="left"/>
        </w:tabs>
        <w:rPr>
          <w:sz w:val="20"/>
          <w:szCs w:val="20"/>
          <w:color w:val="auto"/>
        </w:rPr>
      </w:pPr>
      <w:r>
        <w:rPr>
          <w:rFonts w:ascii="Times New Roman" w:cs="Times New Roman" w:eastAsia="Times New Roman" w:hAnsi="Times New Roman"/>
          <w:sz w:val="13"/>
          <w:szCs w:val="13"/>
          <w:b w:val="1"/>
          <w:bCs w:val="1"/>
          <w:color w:val="auto"/>
        </w:rPr>
        <w:t>Three Months Ended March 31,</w:t>
      </w:r>
      <w:r>
        <w:rPr>
          <w:sz w:val="20"/>
          <w:szCs w:val="20"/>
          <w:color w:val="auto"/>
        </w:rPr>
        <w:tab/>
      </w:r>
      <w:r>
        <w:rPr>
          <w:rFonts w:ascii="Times New Roman" w:cs="Times New Roman" w:eastAsia="Times New Roman" w:hAnsi="Times New Roman"/>
          <w:sz w:val="12"/>
          <w:szCs w:val="12"/>
          <w:b w:val="1"/>
          <w:bCs w:val="1"/>
          <w:color w:val="auto"/>
        </w:rPr>
        <w:t>Three Months Ended March 31,</w:t>
      </w:r>
    </w:p>
    <w:p>
      <w:pPr>
        <w:spacing w:after="0" w:line="18" w:lineRule="exact"/>
        <w:rPr>
          <w:sz w:val="20"/>
          <w:szCs w:val="20"/>
          <w:color w:val="auto"/>
        </w:rPr>
      </w:pPr>
    </w:p>
    <w:p>
      <w:pPr>
        <w:ind w:left="20"/>
        <w:spacing w:after="0"/>
        <w:tabs>
          <w:tab w:leader="none" w:pos="5060" w:val="left"/>
          <w:tab w:leader="none" w:pos="6980" w:val="left"/>
          <w:tab w:leader="none" w:pos="8760" w:val="left"/>
          <w:tab w:leader="none" w:pos="10660" w:val="left"/>
        </w:tabs>
        <w:rPr>
          <w:sz w:val="20"/>
          <w:szCs w:val="20"/>
          <w:color w:val="auto"/>
        </w:rPr>
      </w:pPr>
      <w:r>
        <w:rPr>
          <w:rFonts w:ascii="Times New Roman" w:cs="Times New Roman" w:eastAsia="Times New Roman" w:hAnsi="Times New Roman"/>
          <w:sz w:val="11"/>
          <w:szCs w:val="11"/>
          <w:i w:val="1"/>
          <w:iCs w:val="1"/>
          <w:color w:val="auto"/>
        </w:rPr>
        <w:t>(in thousands)</w:t>
      </w:r>
      <w:r>
        <w:rPr>
          <w:sz w:val="20"/>
          <w:szCs w:val="20"/>
          <w:color w:val="auto"/>
        </w:rPr>
        <w:tab/>
      </w:r>
      <w:r>
        <w:rPr>
          <w:rFonts w:ascii="Times New Roman" w:cs="Times New Roman" w:eastAsia="Times New Roman" w:hAnsi="Times New Roman"/>
          <w:sz w:val="13"/>
          <w:szCs w:val="13"/>
          <w:b w:val="1"/>
          <w:bCs w:val="1"/>
          <w:color w:val="auto"/>
        </w:rPr>
        <w:t>2026</w:t>
      </w:r>
      <w:r>
        <w:rPr>
          <w:sz w:val="20"/>
          <w:szCs w:val="20"/>
          <w:color w:val="auto"/>
        </w:rPr>
        <w:tab/>
      </w:r>
      <w:r>
        <w:rPr>
          <w:rFonts w:ascii="Times New Roman" w:cs="Times New Roman" w:eastAsia="Times New Roman" w:hAnsi="Times New Roman"/>
          <w:sz w:val="13"/>
          <w:szCs w:val="13"/>
          <w:b w:val="1"/>
          <w:bCs w:val="1"/>
          <w:color w:val="auto"/>
        </w:rPr>
        <w:t>2025</w:t>
      </w:r>
      <w:r>
        <w:rPr>
          <w:sz w:val="20"/>
          <w:szCs w:val="20"/>
          <w:color w:val="auto"/>
        </w:rPr>
        <w:tab/>
      </w:r>
      <w:r>
        <w:rPr>
          <w:rFonts w:ascii="Times New Roman" w:cs="Times New Roman" w:eastAsia="Times New Roman" w:hAnsi="Times New Roman"/>
          <w:sz w:val="13"/>
          <w:szCs w:val="13"/>
          <w:b w:val="1"/>
          <w:bCs w:val="1"/>
          <w:color w:val="auto"/>
        </w:rPr>
        <w:t>Change</w:t>
      </w:r>
      <w:r>
        <w:rPr>
          <w:sz w:val="20"/>
          <w:szCs w:val="20"/>
          <w:color w:val="auto"/>
        </w:rPr>
        <w:tab/>
      </w:r>
      <w:r>
        <w:rPr>
          <w:rFonts w:ascii="Times New Roman" w:cs="Times New Roman" w:eastAsia="Times New Roman" w:hAnsi="Times New Roman"/>
          <w:sz w:val="12"/>
          <w:szCs w:val="12"/>
          <w:b w:val="1"/>
          <w:bCs w:val="1"/>
          <w:color w:val="auto"/>
        </w:rPr>
        <w:t>Change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7155180" cy="147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5180" cy="14795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p>
      <w:pPr>
        <w:spacing w:after="0" w:line="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Net cash used in operating activities</w:t>
      </w:r>
    </w:p>
    <w:p>
      <w:pPr>
        <w:spacing w:after="0" w:line="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Net cash provided by investing activities</w:t>
      </w:r>
    </w:p>
    <w:p>
      <w:pPr>
        <w:spacing w:after="0" w:line="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Net cash provided by financing activities</w:t>
      </w:r>
    </w:p>
    <w:p>
      <w:pPr>
        <w:spacing w:after="0" w:line="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Effect of movements in exchange rates on cash held</w:t>
      </w:r>
    </w:p>
    <w:p>
      <w:pPr>
        <w:spacing w:after="0" w:line="70" w:lineRule="exact"/>
        <w:rPr>
          <w:sz w:val="20"/>
          <w:szCs w:val="20"/>
          <w:color w:val="auto"/>
        </w:rPr>
      </w:pPr>
    </w:p>
    <w:p>
      <w:pPr>
        <w:ind w:left="360" w:right="480"/>
        <w:spacing w:after="0" w:line="290" w:lineRule="auto"/>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216281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6281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2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(66,286)</w:t>
            </w:r>
          </w:p>
        </w:tc>
        <w:tc>
          <w:tcPr>
            <w:tcW w:w="80" w:type="dxa"/>
            <w:vAlign w:val="bottom"/>
          </w:tcPr>
          <w:p>
            <w:pPr>
              <w:spacing w:after="0"/>
              <w:rPr>
                <w:sz w:val="16"/>
                <w:szCs w:val="16"/>
                <w:color w:val="auto"/>
              </w:rPr>
            </w:pPr>
          </w:p>
        </w:tc>
        <w:tc>
          <w:tcPr>
            <w:tcW w:w="74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(38,140)</w:t>
            </w:r>
          </w:p>
        </w:tc>
        <w:tc>
          <w:tcPr>
            <w:tcW w:w="80" w:type="dxa"/>
            <w:vAlign w:val="bottom"/>
          </w:tcPr>
          <w:p>
            <w:pPr>
              <w:spacing w:after="0"/>
              <w:rPr>
                <w:sz w:val="16"/>
                <w:szCs w:val="16"/>
                <w:color w:val="auto"/>
              </w:rPr>
            </w:pPr>
          </w:p>
        </w:tc>
        <w:tc>
          <w:tcPr>
            <w:tcW w:w="7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(28,146)</w:t>
            </w:r>
          </w:p>
        </w:tc>
        <w:tc>
          <w:tcPr>
            <w:tcW w:w="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56,246</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(56,147)</w:t>
            </w:r>
          </w:p>
        </w:tc>
        <w:tc>
          <w:tcPr>
            <w:tcW w:w="80" w:type="dxa"/>
            <w:vAlign w:val="bottom"/>
          </w:tcPr>
          <w:p>
            <w:pPr>
              <w:spacing w:after="0"/>
              <w:rPr>
                <w:sz w:val="19"/>
                <w:szCs w:val="19"/>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(99.8) %</w:t>
            </w:r>
          </w:p>
        </w:tc>
      </w:tr>
      <w:tr>
        <w:trPr>
          <w:trHeight w:val="223"/>
        </w:trPr>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30,644</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73,122</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(42,478)</w:t>
            </w:r>
          </w:p>
        </w:tc>
        <w:tc>
          <w:tcPr>
            <w:tcW w:w="80" w:type="dxa"/>
            <w:vAlign w:val="bottom"/>
          </w:tcPr>
          <w:p>
            <w:pPr>
              <w:spacing w:after="0"/>
              <w:rPr>
                <w:sz w:val="19"/>
                <w:szCs w:val="19"/>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(58.1) %</w:t>
            </w:r>
          </w:p>
        </w:tc>
      </w:tr>
      <w:tr>
        <w:trPr>
          <w:trHeight w:val="223"/>
        </w:trPr>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r>
      <w:tr>
        <w:trPr>
          <w:trHeight w:val="266"/>
        </w:trPr>
        <w:tc>
          <w:tcPr>
            <w:tcW w:w="72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(36,026)</w:t>
            </w:r>
          </w:p>
        </w:tc>
        <w:tc>
          <w:tcPr>
            <w:tcW w:w="80" w:type="dxa"/>
            <w:vAlign w:val="bottom"/>
          </w:tcPr>
          <w:p>
            <w:pPr>
              <w:spacing w:after="0"/>
              <w:rPr>
                <w:sz w:val="23"/>
                <w:szCs w:val="23"/>
                <w:color w:val="auto"/>
              </w:rPr>
            </w:pPr>
          </w:p>
        </w:tc>
        <w:tc>
          <w:tcPr>
            <w:tcW w:w="74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91,140</w:t>
            </w:r>
          </w:p>
        </w:tc>
        <w:tc>
          <w:tcPr>
            <w:tcW w:w="80" w:type="dxa"/>
            <w:vAlign w:val="bottom"/>
          </w:tcPr>
          <w:p>
            <w:pPr>
              <w:spacing w:after="0"/>
              <w:rPr>
                <w:sz w:val="23"/>
                <w:szCs w:val="23"/>
                <w:color w:val="auto"/>
              </w:rPr>
            </w:pPr>
          </w:p>
        </w:tc>
        <w:tc>
          <w:tcPr>
            <w:tcW w:w="70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(127,166)</w:t>
            </w:r>
          </w:p>
        </w:tc>
        <w:tc>
          <w:tcPr>
            <w:tcW w:w="80" w:type="dxa"/>
            <w:vAlign w:val="bottom"/>
          </w:tcPr>
          <w:p>
            <w:pPr>
              <w:spacing w:after="0"/>
              <w:rPr>
                <w:sz w:val="23"/>
                <w:szCs w:val="23"/>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(139.5)%</w:t>
            </w:r>
          </w:p>
        </w:tc>
      </w:tr>
      <w:tr>
        <w:trPr>
          <w:trHeight w:val="117"/>
        </w:trPr>
        <w:tc>
          <w:tcPr>
            <w:tcW w:w="7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-2218690</wp:posOffset>
            </wp:positionH>
            <wp:positionV relativeFrom="paragraph">
              <wp:posOffset>-565150</wp:posOffset>
            </wp:positionV>
            <wp:extent cx="7155180" cy="141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5180" cy="141605"/>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-282575</wp:posOffset>
            </wp:positionV>
            <wp:extent cx="7155180" cy="269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5180" cy="269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260"/>
            <w:col w:w="7780"/>
          </w:cols>
          <w:pgMar w:left="300" w:top="1440" w:right="31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Flows from Operating Activities</w:t>
      </w:r>
    </w:p>
    <w:p>
      <w:pPr>
        <w:spacing w:after="0" w:line="181"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We did not generate any cash inflows from our operating activities. Our cash flows from operating activities are significantly influenced by our use of cash for operating expenses and working capital requirements, and we have historically experienced negative cash flows from operating activities as we invested in clinical research and related development.</w:t>
      </w:r>
    </w:p>
    <w:p>
      <w:pPr>
        <w:spacing w:after="0" w:line="124"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Net cash used in operating activities was $66.3 million and $38.1 million for the three months ended March 31, 2026 and 2025, respectively. The increase of net cash used in operating activities of $28.1 million was primarily driven by the increase in net loss of $29.1 million adjusted for non-cash items of $11.8 million. The remaining change of $10.8 million was related to the timing of receipts and payments in the ordinary course of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Flows from Investing Activities</w:t>
      </w:r>
    </w:p>
    <w:p>
      <w:pPr>
        <w:spacing w:after="0" w:line="181" w:lineRule="exact"/>
        <w:rPr>
          <w:sz w:val="20"/>
          <w:szCs w:val="20"/>
          <w:color w:val="auto"/>
        </w:rPr>
      </w:pPr>
    </w:p>
    <w:p>
      <w:pPr>
        <w:jc w:val="both"/>
        <w:ind w:firstLine="5"/>
        <w:spacing w:after="0" w:line="264" w:lineRule="auto"/>
        <w:rPr>
          <w:sz w:val="20"/>
          <w:szCs w:val="20"/>
          <w:color w:val="auto"/>
        </w:rPr>
      </w:pPr>
      <w:r>
        <w:rPr>
          <w:rFonts w:ascii="Times New Roman" w:cs="Times New Roman" w:eastAsia="Times New Roman" w:hAnsi="Times New Roman"/>
          <w:sz w:val="14"/>
          <w:szCs w:val="14"/>
          <w:color w:val="auto"/>
        </w:rPr>
        <w:t>During the three months ended March 31, 2026, net cash provided by investing activities was $0.1 million, consisting predominantly of $59.2 million in proceeds received from maturities of short-term marketable debt securities with original maturities longer than three months, largely offset by $59.1 million related to the purchase of short-term marketable debt securities. During the three months ended March 31, 2025, net cash provided by investing activities was $56.2 million, consisting predominantly of $144.8 million in proceeds received from maturities of short-term marketable debt securities with original maturities longer than three months, partially offset by $88.5 million related to the purchase of short-term marketable debt securities.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Flows from Financing Activities</w:t>
      </w:r>
    </w:p>
    <w:p>
      <w:pPr>
        <w:spacing w:after="0" w:line="181"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During the three months ended March 31, 2026, net cash provided by financing activities was $30.6 million consisting primarily of $24.5 million in net proceeds from the First Amended Loan and Security Agreement and drawdown of a second debt tranche and $6.0 million in net proceeds from the shares sold under the Sales Agreement. During the three months ended March 31, 2025, net cash provided by financing activities was $73.1 million consisting primarily of $73.0 million in net proceeds from the Loan and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type w:val="continuous"/>
        </w:sectPr>
      </w:pPr>
    </w:p>
    <w:bookmarkStart w:id="41" w:name="page42"/>
    <w:bookmarkEnd w:id="41"/>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 and Commitments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summarizes our significant contractual obligations and other obligations as of March 31, 2026, which we generally expect to satisfy with cash on hand and the maturity of short-term marketable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101600</wp:posOffset>
            </wp:positionV>
            <wp:extent cx="499237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2370" cy="698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Less than 1</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1 to 5</w:t>
            </w:r>
          </w:p>
        </w:tc>
        <w:tc>
          <w:tcPr>
            <w:tcW w:w="380" w:type="dxa"/>
            <w:vAlign w:val="bottom"/>
          </w:tcPr>
          <w:p>
            <w:pPr>
              <w:spacing w:after="0"/>
              <w:rPr>
                <w:sz w:val="13"/>
                <w:szCs w:val="13"/>
                <w:color w:val="auto"/>
              </w:rPr>
            </w:pPr>
          </w:p>
        </w:tc>
        <w:tc>
          <w:tcPr>
            <w:tcW w:w="148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More than</w:t>
            </w:r>
          </w:p>
        </w:tc>
      </w:tr>
      <w:tr>
        <w:trPr>
          <w:trHeight w:val="18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year</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380" w:type="dxa"/>
            <w:vAlign w:val="bottom"/>
          </w:tcPr>
          <w:p>
            <w:pPr>
              <w:spacing w:after="0"/>
              <w:rPr>
                <w:sz w:val="15"/>
                <w:szCs w:val="15"/>
                <w:color w:val="auto"/>
              </w:rPr>
            </w:pPr>
          </w:p>
        </w:tc>
        <w:tc>
          <w:tcPr>
            <w:tcW w:w="148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5 years</w:t>
            </w:r>
          </w:p>
        </w:tc>
      </w:tr>
      <w:tr>
        <w:trPr>
          <w:trHeight w:val="203"/>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obligations</w:t>
            </w:r>
            <w:r>
              <w:rPr>
                <w:rFonts w:ascii="Times New Roman" w:cs="Times New Roman" w:eastAsia="Times New Roman" w:hAnsi="Times New Roman"/>
                <w:sz w:val="8"/>
                <w:szCs w:val="8"/>
                <w:color w:val="auto"/>
              </w:rPr>
              <w:t>(1)</w:t>
            </w:r>
          </w:p>
        </w:tc>
        <w:tc>
          <w:tcPr>
            <w:tcW w:w="1180" w:type="dxa"/>
            <w:vAlign w:val="bottom"/>
            <w:tcBorders>
              <w:top w:val="single" w:sz="8" w:color="auto"/>
              <w:bottom w:val="single" w:sz="8" w:color="CCEEFF"/>
            </w:tcBorders>
            <w:shd w:val="clear" w:color="auto" w:fill="CCEEFF"/>
          </w:tcPr>
          <w:p>
            <w:pPr>
              <w:jc w:val="right"/>
              <w:ind w:right="101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175,728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jc w:val="right"/>
              <w:ind w:right="1113"/>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130,416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45,312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commitments</w:t>
            </w:r>
            <w:r>
              <w:rPr>
                <w:rFonts w:ascii="Times New Roman" w:cs="Times New Roman" w:eastAsia="Times New Roman" w:hAnsi="Times New Roman"/>
                <w:sz w:val="8"/>
                <w:szCs w:val="8"/>
                <w:color w:val="auto"/>
              </w:rPr>
              <w:t>(2)</w:t>
            </w:r>
          </w:p>
        </w:tc>
        <w:tc>
          <w:tcPr>
            <w:tcW w:w="1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3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3"/>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obligations</w:t>
            </w:r>
            <w:r>
              <w:rPr>
                <w:rFonts w:ascii="Times New Roman" w:cs="Times New Roman" w:eastAsia="Times New Roman" w:hAnsi="Times New Roman"/>
                <w:sz w:val="8"/>
                <w:szCs w:val="8"/>
                <w:color w:val="auto"/>
              </w:rPr>
              <w:t>(3)</w:t>
            </w:r>
          </w:p>
        </w:tc>
        <w:tc>
          <w:tcPr>
            <w:tcW w:w="1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141,243</w:t>
            </w: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7,840</w:t>
            </w: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133,403</w:t>
            </w: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4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Total contractual obligations</w:t>
            </w:r>
          </w:p>
        </w:tc>
        <w:tc>
          <w:tcPr>
            <w:tcW w:w="1180" w:type="dxa"/>
            <w:vAlign w:val="bottom"/>
            <w:tcBorders>
              <w:top w:val="single" w:sz="8" w:color="auto"/>
            </w:tcBorders>
          </w:tcPr>
          <w:p>
            <w:pPr>
              <w:jc w:val="right"/>
              <w:ind w:right="1012"/>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318,889</w:t>
            </w:r>
          </w:p>
        </w:tc>
        <w:tc>
          <w:tcPr>
            <w:tcW w:w="160" w:type="dxa"/>
            <w:vAlign w:val="bottom"/>
          </w:tcPr>
          <w:p>
            <w:pPr>
              <w:spacing w:after="0"/>
              <w:rPr>
                <w:sz w:val="16"/>
                <w:szCs w:val="16"/>
                <w:color w:val="auto"/>
              </w:rPr>
            </w:pPr>
          </w:p>
        </w:tc>
        <w:tc>
          <w:tcPr>
            <w:tcW w:w="1280" w:type="dxa"/>
            <w:vAlign w:val="bottom"/>
            <w:tcBorders>
              <w:top w:val="single" w:sz="8" w:color="auto"/>
            </w:tcBorders>
          </w:tcPr>
          <w:p>
            <w:pPr>
              <w:jc w:val="right"/>
              <w:ind w:right="1113"/>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139,253</w:t>
            </w:r>
          </w:p>
        </w:tc>
        <w:tc>
          <w:tcPr>
            <w:tcW w:w="160" w:type="dxa"/>
            <w:vAlign w:val="bottom"/>
          </w:tcPr>
          <w:p>
            <w:pPr>
              <w:spacing w:after="0"/>
              <w:rPr>
                <w:sz w:val="16"/>
                <w:szCs w:val="16"/>
                <w:color w:val="auto"/>
              </w:rPr>
            </w:pPr>
          </w:p>
        </w:tc>
        <w:tc>
          <w:tcPr>
            <w:tcW w:w="44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179,636</w:t>
            </w:r>
          </w:p>
        </w:tc>
        <w:tc>
          <w:tcPr>
            <w:tcW w:w="160" w:type="dxa"/>
            <w:vAlign w:val="bottom"/>
          </w:tcPr>
          <w:p>
            <w:pPr>
              <w:spacing w:after="0"/>
              <w:rPr>
                <w:sz w:val="16"/>
                <w:szCs w:val="16"/>
                <w:color w:val="auto"/>
              </w:rPr>
            </w:pPr>
          </w:p>
        </w:tc>
        <w:tc>
          <w:tcPr>
            <w:tcW w:w="38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top w:val="single" w:sz="8" w:color="auto"/>
            </w:tcBorders>
          </w:tcPr>
          <w:p>
            <w:pPr>
              <w:ind w:left="12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34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w:t>
      </w:r>
    </w:p>
    <w:p>
      <w:pPr>
        <w:spacing w:after="0" w:line="173" w:lineRule="exact"/>
        <w:rPr>
          <w:sz w:val="20"/>
          <w:szCs w:val="20"/>
          <w:color w:val="auto"/>
        </w:rPr>
      </w:pPr>
    </w:p>
    <w:p>
      <w:pPr>
        <w:ind w:left="520" w:hanging="260"/>
        <w:spacing w:after="0" w:line="263" w:lineRule="auto"/>
        <w:tabs>
          <w:tab w:leader="none" w:pos="514"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Purchase obligations refer to an agreement to purchase goods or services that is enforceable and legally binding on the Company that specifies all significant terms. The figures presented primarily relate to contractual commitments towards contract manufacturing and contract research organizations.</w:t>
      </w:r>
    </w:p>
    <w:p>
      <w:pPr>
        <w:ind w:left="520" w:hanging="260"/>
        <w:spacing w:after="0" w:line="258" w:lineRule="auto"/>
        <w:tabs>
          <w:tab w:leader="none" w:pos="516"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have committed ourselves to five leases, with terms that commenced on November 1, 2021, October 9, 2023, October 13, 2023, January 15, 2024, and September 8, 2024. These future lease commitments relate to the office leases for our headquarters in Zug, Switzerland, Cambridge, United Kingdom, and Porto, Portugal, and reflect minimum payments due.</w:t>
      </w:r>
    </w:p>
    <w:p>
      <w:pPr>
        <w:ind w:left="520" w:hanging="260"/>
        <w:spacing w:after="0" w:line="283" w:lineRule="auto"/>
        <w:tabs>
          <w:tab w:leader="none" w:pos="541"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have committed ourselves to a long-term debt obligation, with a term that commenced on March 31, 2025. This debt obligation relates to the First Amended Loan and Security Agreement and reflects the expected payments due, including principal repayment, interest payments, and an end of loan term charge.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summary of our critical accounting policies and estimates is presented in Part II, Item 7 of our Annual Report. There were no material changes to our critical accounting estimates during the three months ended March 31,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Refer to Note 2 — </w:t>
      </w:r>
      <w:r>
        <w:rPr>
          <w:rFonts w:ascii="Times New Roman" w:cs="Times New Roman" w:eastAsia="Times New Roman" w:hAnsi="Times New Roman"/>
          <w:sz w:val="14"/>
          <w:szCs w:val="14"/>
          <w:i w:val="1"/>
          <w:iCs w:val="1"/>
          <w:color w:val="auto"/>
        </w:rPr>
        <w:t>Basis of Presentation and Significant Accounting Policies</w:t>
      </w:r>
      <w:r>
        <w:rPr>
          <w:rFonts w:ascii="Times New Roman" w:cs="Times New Roman" w:eastAsia="Times New Roman" w:hAnsi="Times New Roman"/>
          <w:sz w:val="14"/>
          <w:szCs w:val="14"/>
          <w:color w:val="auto"/>
        </w:rPr>
        <w:t xml:space="preserve"> to the unaudited condensed consolidated financial statements included elsewhere in this Form 10-Q for more information about recent accounting pronouncements, the timing of their adoption, and our assessment, to the extent it has been made, of their potential impact on our financial condition and our results of operations and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1"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As of March 31, 2026, we have cash, cash equivalents, and short-term marketable securities of $357.9 million, which consist primarily of bank deposits, commercial papers and certificates of deposits. The investments in these financial instruments are made in accordance with an investment policy which specifies the categories, allocations and ratings of securities permissible for investment. The primary objective of the investment activities is non-trading related and instead to preserve principal as well as maximizing income received without significantly increasing risk.</w:t>
      </w:r>
    </w:p>
    <w:p>
      <w:pPr>
        <w:spacing w:after="0" w:line="136" w:lineRule="exact"/>
        <w:rPr>
          <w:sz w:val="20"/>
          <w:szCs w:val="20"/>
          <w:color w:val="auto"/>
        </w:rPr>
      </w:pPr>
    </w:p>
    <w:p>
      <w:pPr>
        <w:jc w:val="both"/>
        <w:ind w:firstLine="5"/>
        <w:spacing w:after="0" w:line="259" w:lineRule="auto"/>
        <w:rPr>
          <w:sz w:val="20"/>
          <w:szCs w:val="20"/>
          <w:color w:val="auto"/>
        </w:rPr>
      </w:pPr>
      <w:r>
        <w:rPr>
          <w:rFonts w:ascii="Times New Roman" w:cs="Times New Roman" w:eastAsia="Times New Roman" w:hAnsi="Times New Roman"/>
          <w:sz w:val="14"/>
          <w:szCs w:val="14"/>
          <w:color w:val="auto"/>
        </w:rPr>
        <w:t>To minimize any inherent market risk, we maintain a diverse and highly liquid portfolio which includes cash, cash equivalents, and short-term investment securities available-for-sale in a variety of securities including certificates of deposits and commercial papers, all with various maturity dates. The fair value of the cash, cash equivalents, and short-term investments would not be significantly affected by either an increase or decrease in interest rates due to the short-term maturities of these instruments. Since they are classified as “available-for-sale”, no gains or losses are recognized in the condensed consolidated statements of operations and comprehensive loss due to changes in interest rates unless such securities are sold prior to maturity or declines in fair value are due to credit losses. We have the ability to hold all such investments until maturity. A hypothetical 10% change in interest rates during any of the periods presented would not have had a material effect on our financial results or financial condition as of March 31, 2026.</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42" w:name="page43"/>
    <w:bookmarkEnd w:id="42"/>
    <w:p>
      <w:pPr>
        <w:spacing w:after="0" w:line="12" w:lineRule="exact"/>
        <w:rPr>
          <w:sz w:val="20"/>
          <w:szCs w:val="20"/>
          <w:color w:val="auto"/>
        </w:rPr>
      </w:pPr>
    </w:p>
    <w:p>
      <w:pPr>
        <w:jc w:val="both"/>
        <w:ind w:firstLine="5"/>
        <w:spacing w:after="0" w:line="264" w:lineRule="auto"/>
        <w:rPr>
          <w:sz w:val="20"/>
          <w:szCs w:val="20"/>
          <w:color w:val="auto"/>
        </w:rPr>
      </w:pPr>
      <w:r>
        <w:rPr>
          <w:rFonts w:ascii="Times New Roman" w:cs="Times New Roman" w:eastAsia="Times New Roman" w:hAnsi="Times New Roman"/>
          <w:sz w:val="14"/>
          <w:szCs w:val="14"/>
          <w:color w:val="auto"/>
        </w:rPr>
        <w:t>As of March 31, 2026, we had $99.0 million in variable rate debt outstanding. The Tranche 1 Loan and the Tranche 2 Loan, which together have a principal balance of $100.0 million and mature in April 2030, with interest-only monthly payments. The outstanding loans bear interest at a floating rate equal to 8.45% as of March 31, 2026, calculated as the greater of: (i) the prime rate as reported in the Wall Street Journal plus 1.45% and (ii) 8.25%. A hypothetical 100 basis point change in interest rate during any of the periods presented would not have had a material effect on our financial results or financial condition as of March 31, 2026.</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hold or issue derivatives, derivative commodity instruments or other financial instruments for speculative trading purposes.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maintain disclosure controls and procedures designed to ensure that information required to be disclosed by us in our reports filed under the Exchange Act is recorded, processed, summarized and reported within the time period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136" w:lineRule="exact"/>
        <w:rPr>
          <w:sz w:val="20"/>
          <w:szCs w:val="20"/>
          <w:color w:val="auto"/>
        </w:rPr>
      </w:pPr>
    </w:p>
    <w:p>
      <w:pPr>
        <w:jc w:val="both"/>
        <w:ind w:firstLine="5"/>
        <w:spacing w:after="0" w:line="264" w:lineRule="auto"/>
        <w:rPr>
          <w:sz w:val="20"/>
          <w:szCs w:val="20"/>
          <w:color w:val="auto"/>
        </w:rPr>
      </w:pPr>
      <w:r>
        <w:rPr>
          <w:rFonts w:ascii="Times New Roman" w:cs="Times New Roman" w:eastAsia="Times New Roman" w:hAnsi="Times New Roman"/>
          <w:sz w:val="14"/>
          <w:szCs w:val="14"/>
          <w:color w:val="auto"/>
        </w:rPr>
        <w:t>As of March 31, 2026, our management, under the supervision and with the participation of our Chief Executive Officer and Chief Financial Officer, has evaluated the effectiveness of the design and operation of our disclosure controls and procedures (as defined in Rules 13a-15(e) and 15d-15(e) of the Securities Exchange Act of 1934, as amended, or the Exchange Act) prior to the filing of this Quarterly Report. Based on that evaluation, our Chief Executive Officer and Chief Financial Officer have concluded that, as of March 31, 2026, the design and operation of our disclosure controls and procedures were effective at the reasonable assurance level.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81"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Rules 13a-15(e) and 15d-15(e) of the Securities Exchange Act of 1934, as amended, or the Exchange Act) during the three months ended March 31, 2026 that have materially affected, or are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Inherent limitations on Effectiveness of Controls and Procedures</w:t>
      </w:r>
    </w:p>
    <w:p>
      <w:pPr>
        <w:spacing w:after="0" w:line="181" w:lineRule="exact"/>
        <w:rPr>
          <w:sz w:val="20"/>
          <w:szCs w:val="20"/>
          <w:color w:val="auto"/>
        </w:rPr>
      </w:pPr>
    </w:p>
    <w:p>
      <w:pPr>
        <w:jc w:val="both"/>
        <w:ind w:firstLine="5"/>
        <w:spacing w:after="0" w:line="259" w:lineRule="auto"/>
        <w:rPr>
          <w:sz w:val="20"/>
          <w:szCs w:val="20"/>
          <w:color w:val="auto"/>
        </w:rPr>
      </w:pPr>
      <w:r>
        <w:rPr>
          <w:rFonts w:ascii="Times New Roman" w:cs="Times New Roman" w:eastAsia="Times New Roman" w:hAnsi="Times New Roman"/>
          <w:sz w:val="14"/>
          <w:szCs w:val="14"/>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Lastly,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81"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 and there can be no assurances that favorable outcomes will be obtained.</w:t>
      </w:r>
    </w:p>
    <w:p>
      <w:pPr>
        <w:spacing w:after="0" w:line="122" w:lineRule="exact"/>
        <w:rPr>
          <w:sz w:val="20"/>
          <w:szCs w:val="20"/>
          <w:color w:val="auto"/>
        </w:rPr>
      </w:pPr>
    </w:p>
    <w:p>
      <w:pPr>
        <w:jc w:val="both"/>
        <w:ind w:firstLine="5"/>
        <w:spacing w:after="0" w:line="262" w:lineRule="auto"/>
        <w:rPr>
          <w:sz w:val="20"/>
          <w:szCs w:val="20"/>
          <w:color w:val="auto"/>
        </w:rPr>
      </w:pPr>
      <w:r>
        <w:rPr>
          <w:rFonts w:ascii="Times New Roman" w:cs="Times New Roman" w:eastAsia="Times New Roman" w:hAnsi="Times New Roman"/>
          <w:sz w:val="14"/>
          <w:szCs w:val="14"/>
          <w:color w:val="auto"/>
        </w:rPr>
        <w:t xml:space="preserve">On October 15, 2025, a lawsuit captioned </w:t>
      </w:r>
      <w:r>
        <w:rPr>
          <w:rFonts w:ascii="Times New Roman" w:cs="Times New Roman" w:eastAsia="Times New Roman" w:hAnsi="Times New Roman"/>
          <w:sz w:val="14"/>
          <w:szCs w:val="14"/>
          <w:i w:val="1"/>
          <w:iCs w:val="1"/>
          <w:color w:val="auto"/>
        </w:rPr>
        <w:t>Bridgewood v. MoonLake Immunotherapeutics, et al.</w:t>
      </w:r>
      <w:r>
        <w:rPr>
          <w:rFonts w:ascii="Times New Roman" w:cs="Times New Roman" w:eastAsia="Times New Roman" w:hAnsi="Times New Roman"/>
          <w:sz w:val="14"/>
          <w:szCs w:val="14"/>
          <w:color w:val="auto"/>
        </w:rPr>
        <w:t>, Case No. 1:25-cv-8500 (the “Bridgewood Action”) was filed in the United States District Court for the Southern District of New York, naming the Company, its Chief Executive Officer, and its Chief Financial Officer as defendants. The Bridgewood Action was purportedly brought on behalf of a class of all investors who purchased or otherwise acquired the Company’s common stock between March 10, 2024, through September 29, 2025 (the “Class Period”). The complaint alleged claims under Sections 10(b) and 20(a) of the Securities Exchange Act of 1934, as amended (“Exchange Act”), based on allegedly false or misleading statements related to the clinical benefits and prospects of Sonelokimab. The lawsuit sought unspecified damages and other relief. On October 22, 2025, the plaintiff voluntarily dismissed without prejudice the Bridgewood Action.</w:t>
      </w:r>
    </w:p>
    <w:p>
      <w:pPr>
        <w:spacing w:after="0" w:line="140" w:lineRule="exact"/>
        <w:rPr>
          <w:sz w:val="20"/>
          <w:szCs w:val="20"/>
          <w:color w:val="auto"/>
        </w:rPr>
      </w:pPr>
    </w:p>
    <w:p>
      <w:pPr>
        <w:jc w:val="both"/>
        <w:ind w:firstLine="5"/>
        <w:spacing w:after="0" w:line="271" w:lineRule="auto"/>
        <w:rPr>
          <w:sz w:val="20"/>
          <w:szCs w:val="20"/>
          <w:color w:val="auto"/>
        </w:rPr>
      </w:pPr>
      <w:r>
        <w:rPr>
          <w:rFonts w:ascii="Times New Roman" w:cs="Times New Roman" w:eastAsia="Times New Roman" w:hAnsi="Times New Roman"/>
          <w:sz w:val="14"/>
          <w:szCs w:val="14"/>
          <w:color w:val="auto"/>
        </w:rPr>
        <w:t xml:space="preserve">On October 17, 2025, a second putative class action captioned </w:t>
      </w:r>
      <w:r>
        <w:rPr>
          <w:rFonts w:ascii="Times New Roman" w:cs="Times New Roman" w:eastAsia="Times New Roman" w:hAnsi="Times New Roman"/>
          <w:sz w:val="14"/>
          <w:szCs w:val="14"/>
          <w:i w:val="1"/>
          <w:iCs w:val="1"/>
          <w:color w:val="auto"/>
        </w:rPr>
        <w:t>Peters v. MoonLake Immunotherapeutics, et al.</w:t>
      </w:r>
      <w:r>
        <w:rPr>
          <w:rFonts w:ascii="Times New Roman" w:cs="Times New Roman" w:eastAsia="Times New Roman" w:hAnsi="Times New Roman"/>
          <w:sz w:val="14"/>
          <w:szCs w:val="14"/>
          <w:color w:val="auto"/>
        </w:rPr>
        <w:t>, Case No. 1:25-cv-8612 (the “Peters Action” and, together with the Bridgewood Action, the “Class Actions”) was filed in the United States District Court for the Southern District of New York (the “Court”). The Peters Action names the same defendants, contains identical allegations of alleged violations of the Exchange Act, and seeks the same relief as the Bridgewood Action. On January 6, 2026, the Court appointed lead plaintiff and lead counsel.</w:t>
      </w:r>
    </w:p>
    <w:p>
      <w:pPr>
        <w:spacing w:after="0" w:line="136"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On April 16, 2026, lead plaintiff filed an amended complaint naming the Company, its Chief Executive Officer, its Chief Financial Officer, and its Chief Scientific Officer as defendants. The amended complaint covers the same Class Period and asserts substantially similar claims under the Exchange Act as the earlier complaints in the Class Actions.</w:t>
      </w:r>
    </w:p>
    <w:p>
      <w:pPr>
        <w:spacing w:after="0" w:line="124" w:lineRule="exact"/>
        <w:rPr>
          <w:sz w:val="20"/>
          <w:szCs w:val="20"/>
          <w:color w:val="auto"/>
        </w:rPr>
      </w:pPr>
    </w:p>
    <w:p>
      <w:pPr>
        <w:jc w:val="both"/>
        <w:ind w:firstLine="5"/>
        <w:spacing w:after="0" w:line="287" w:lineRule="auto"/>
        <w:rPr>
          <w:sz w:val="20"/>
          <w:szCs w:val="20"/>
          <w:color w:val="auto"/>
        </w:rPr>
      </w:pPr>
      <w:r>
        <w:rPr>
          <w:rFonts w:ascii="Times New Roman" w:cs="Times New Roman" w:eastAsia="Times New Roman" w:hAnsi="Times New Roman"/>
          <w:sz w:val="14"/>
          <w:szCs w:val="14"/>
          <w:color w:val="auto"/>
        </w:rPr>
        <w:t>The defendants deny the allegations of wrongdoing in the Class Actions and intend to vigorously defend against the claims. The Company is unable to predict the ultimate outcome of the Peters Action and therefore cannot estimate the reasonably possible loss or range of loss, if any, that may result from the lawsuit.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1A. Risk Factors</w:t>
      </w:r>
    </w:p>
    <w:p>
      <w:pPr>
        <w:spacing w:after="0" w:line="181" w:lineRule="exact"/>
        <w:rPr>
          <w:sz w:val="20"/>
          <w:szCs w:val="20"/>
          <w:color w:val="auto"/>
        </w:rPr>
      </w:pPr>
    </w:p>
    <w:p>
      <w:pPr>
        <w:jc w:val="both"/>
        <w:ind w:firstLine="5"/>
        <w:spacing w:after="0" w:line="264" w:lineRule="auto"/>
        <w:rPr>
          <w:sz w:val="20"/>
          <w:szCs w:val="20"/>
          <w:color w:val="auto"/>
        </w:rPr>
      </w:pPr>
      <w:r>
        <w:rPr>
          <w:rFonts w:ascii="Times New Roman" w:cs="Times New Roman" w:eastAsia="Times New Roman" w:hAnsi="Times New Roman"/>
          <w:sz w:val="14"/>
          <w:szCs w:val="14"/>
          <w:color w:val="auto"/>
        </w:rPr>
        <w:t>Any of the risks described in our Annual Report are factors that could cause our actual results to differ materially from those in this Quarterly Report. Any of these factors could result in a significant or material adverse effect upon our business, results of operations or financial condition. Additional risk factors not presently known to us or that we currently deem immaterial may also impair our business, results of operations or financial condition. Except as described below, there have been no material changes to the risk factors that we included in our Annual Report. We may make changes to such risk factors or disclose additional risk factors from time to time in our future filings with the SEC.</w:t>
      </w:r>
    </w:p>
    <w:p>
      <w:pPr>
        <w:spacing w:after="0" w:line="138" w:lineRule="exact"/>
        <w:rPr>
          <w:sz w:val="20"/>
          <w:szCs w:val="20"/>
          <w:color w:val="auto"/>
        </w:rPr>
      </w:pPr>
    </w:p>
    <w:p>
      <w:pPr>
        <w:jc w:val="both"/>
        <w:ind w:firstLine="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Geopolitical events and global economic conditions, such as public health crises, the conflicts between Russia and Ukraine and in the Middle East, could seriously and adversely affect our preclinical studies and ongoing and anticipated clinical trials,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47" w:right="319" w:bottom="1440" w:gutter="0" w:footer="0" w:header="0"/>
        </w:sectPr>
      </w:pPr>
    </w:p>
    <w:bookmarkStart w:id="44" w:name="page45"/>
    <w:bookmarkEnd w:id="44"/>
    <w:p>
      <w:pPr>
        <w:spacing w:after="0" w:line="181" w:lineRule="exact"/>
        <w:rPr>
          <w:sz w:val="20"/>
          <w:szCs w:val="20"/>
          <w:color w:val="auto"/>
        </w:rPr>
      </w:pPr>
    </w:p>
    <w:p>
      <w:pPr>
        <w:jc w:val="both"/>
        <w:ind w:firstLine="5"/>
        <w:spacing w:after="0" w:line="255" w:lineRule="auto"/>
        <w:rPr>
          <w:sz w:val="20"/>
          <w:szCs w:val="20"/>
          <w:color w:val="auto"/>
        </w:rPr>
      </w:pPr>
      <w:r>
        <w:rPr>
          <w:rFonts w:ascii="Times New Roman" w:cs="Times New Roman" w:eastAsia="Times New Roman" w:hAnsi="Times New Roman"/>
          <w:sz w:val="14"/>
          <w:szCs w:val="14"/>
          <w:color w:val="auto"/>
        </w:rPr>
        <w:t>As a result of global economic conditions, including new or increased tariffs imposed by the U.S. government and potential retaliatory measures by foreign governments and other barriers to trade, especially in light of recent executive orders made by the presidential administration, trade and other international disputes, inflation and fluctuating interest rates, slower growth or recession, tighter credit, volatility in financial markets, high unemployment, labor availability constraints, public health crises, significant natural disasters, including as a result of climate change, changes to fiscal and monetary policy or government budget dynamics, particularly in the pharmaceutical and biotech areas, political and military conflict, including the conflicts between Russia and Ukraine and in the Middle East, and related volatility in oil and other commodity prices, we may in the future experience disruptions that could seriously harm our business. In addition, in September 2025, the United States announced the potential imposition of up to 100% tariffs on imported branded or patented pharmaceuticals, subject to certain exceptions, and in April 2026, the Trump Administration issued a proclamation regarding the imposition of such tariffs. There remains substantial uncertainty as to the implementation and potential impacts of such tariffs and, more generally, about the duration of existing tariffs, tariff levels, and whether additional tariffs or retaliatory actions may be imposed, modified or suspended. Other potential disruptions include but are not limited to: delays or difficulties in enrolling patients in, initiating or expanding our clinical trials, including delays or difficulties with clinical site initiation and recruiting clinical site investigators and clinical site staff; increased rates of patients withdrawing from our clinical trials following enrollment as a result of certain health conditions or being forced to quarantine; interruption of key clinical trial activities, such as clinical trial site data monitoring and efficacy, safety and translational data collection, processing and analyses, due to limitations on travel imposed; recommendations by federal, state or local governments, employers and others or interruptions of clinical trial subject visits, which may impact the collection and integrity of subject data and clinical trial endpoints; diversion of healthcare resources away from the conduct of clinical trials, including the diversion of hospitals serving as our clinical trial sites and hospital staff supporting the conduct of our clinical trials; delays or disruptions in preclinical experiments and IND-enabling studies due to restrictions of on-site staff and unforeseen circumstances at CROs and vendors; interruption or delays in the operations of the FDA, EMA, and comparable foreign regulatory authorities including delays in receiving approval from local regulatory authorities to initiate our planned clinical trials; interruption of, or delays in receiving, supplies of SLK from our CMOs due to staffing shortages, raw materials shortages, production slowdowns or stoppages and disruptions in delivery systems; and limitations on employee or other resources that would otherwise be focused on the conduct of our clinical trials and preclinical work, including because of sickness of employees or their families, the desire of employees to avoid travel or contact with large groups of people, an increased reliance on working from home, school closures or mass transit disruptions.</w:t>
      </w:r>
    </w:p>
    <w:p>
      <w:pPr>
        <w:spacing w:after="0" w:line="147" w:lineRule="exact"/>
        <w:rPr>
          <w:sz w:val="20"/>
          <w:szCs w:val="20"/>
          <w:color w:val="auto"/>
        </w:rPr>
      </w:pPr>
    </w:p>
    <w:p>
      <w:pPr>
        <w:jc w:val="both"/>
        <w:ind w:firstLine="5"/>
        <w:spacing w:after="0" w:line="270" w:lineRule="auto"/>
        <w:rPr>
          <w:sz w:val="20"/>
          <w:szCs w:val="20"/>
          <w:color w:val="auto"/>
        </w:rPr>
      </w:pPr>
      <w:r>
        <w:rPr>
          <w:rFonts w:ascii="Times New Roman" w:cs="Times New Roman" w:eastAsia="Times New Roman" w:hAnsi="Times New Roman"/>
          <w:sz w:val="14"/>
          <w:szCs w:val="14"/>
          <w:color w:val="auto"/>
        </w:rPr>
        <w:t>Geopolitical events and global economic conditions may also affect the ability of the FDA, EMA, and other regulatory authorities to perform routine functions. If such concerns prevent the FDA, EMA, or other regulatory authorities from conducting their regular inspections, reviews or other regulatory activities, it could significantly impact the ability of the FDA, EMA, or other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Trading Arrangements</w:t>
      </w:r>
    </w:p>
    <w:p>
      <w:pPr>
        <w:spacing w:after="0" w:line="181" w:lineRule="exact"/>
        <w:rPr>
          <w:sz w:val="20"/>
          <w:szCs w:val="20"/>
          <w:color w:val="auto"/>
        </w:rPr>
      </w:pPr>
    </w:p>
    <w:p>
      <w:pPr>
        <w:ind w:firstLine="5"/>
        <w:spacing w:after="0" w:line="287" w:lineRule="auto"/>
        <w:rPr>
          <w:sz w:val="20"/>
          <w:szCs w:val="20"/>
          <w:color w:val="auto"/>
        </w:rPr>
      </w:pPr>
      <w:r>
        <w:rPr>
          <w:rFonts w:ascii="Times New Roman" w:cs="Times New Roman" w:eastAsia="Times New Roman" w:hAnsi="Times New Roman"/>
          <w:sz w:val="14"/>
          <w:szCs w:val="14"/>
          <w:color w:val="auto"/>
        </w:rPr>
        <w:t>On March 10, 2026, Dr. Kristian Reich, the Chief Scientific Officer of the Company, adopted a trading plan intended to satisfy the affirmative defense of Rule 10b-1(c). Dr. Reich's plan provides for the sale, subject to certain conditions, of up to 450,000 Class A Ordinary Shares through November 24, 2026.</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March 31, 2026, Dr. Jorge Santos da Silva, the Chief Executive Officer and a director of the Company, adopted a trading plan intended to satisfy the affirmative defense of Rule 10b-1(c). Dr.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Santos da Silva's plan provides for the sale, subject to certain conditions, of up to 150,000 Class A Ordinary Shares through July 31, 2026.</w:t>
      </w:r>
    </w:p>
    <w:p>
      <w:pPr>
        <w:spacing w:after="0" w:line="164" w:lineRule="exact"/>
        <w:rPr>
          <w:sz w:val="20"/>
          <w:szCs w:val="20"/>
          <w:color w:val="auto"/>
        </w:rPr>
      </w:pPr>
    </w:p>
    <w:p>
      <w:pPr>
        <w:ind w:firstLine="5"/>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2026, no other director or Section 16 officer of the Company adopted or terminated any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6" w:name="page47"/>
    <w:bookmarkEnd w:id="46"/>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exhibits are filed as part of, or incorporated by reference into, this Quarterly Report on Form 10-Q.</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954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32"/>
        </w:trPr>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50"/>
        </w:trPr>
        <w:tc>
          <w:tcPr>
            <w:tcW w:w="1460" w:type="dxa"/>
            <w:vAlign w:val="bottom"/>
            <w:tcBorders>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3.1</w:t>
            </w:r>
          </w:p>
        </w:tc>
        <w:tc>
          <w:tcPr>
            <w:tcW w:w="2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420" w:type="dxa"/>
            <w:vAlign w:val="bottom"/>
            <w:tcBorders>
              <w:bottom w:val="single" w:sz="8" w:color="0000FF"/>
            </w:tcBorders>
            <w:gridSpan w:val="7"/>
            <w:shd w:val="clear" w:color="auto" w:fill="CCEEFF"/>
          </w:tcPr>
          <w:p>
            <w:pPr>
              <w:spacing w:after="0" w:line="150" w:lineRule="exact"/>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Memorandum and Articles of Association of MoonLake Immunotherapeutics (incorporated by reference to Exhibit 3.1 to the Company’s Current Report on Form 8-K</w:t>
              </w:r>
            </w:hyperlink>
          </w:p>
        </w:tc>
        <w:tc>
          <w:tcPr>
            <w:tcW w:w="120" w:type="dxa"/>
            <w:vAlign w:val="bottom"/>
            <w:tcBorders>
              <w:bottom w:val="single" w:sz="8" w:color="CCEEFF"/>
            </w:tcBorders>
            <w:gridSpan w:val="3"/>
            <w:shd w:val="clear" w:color="auto" w:fill="CCEEFF"/>
          </w:tcPr>
          <w:p>
            <w:pPr>
              <w:spacing w:after="0"/>
              <w:rPr>
                <w:sz w:val="13"/>
                <w:szCs w:val="13"/>
                <w:color w:val="auto"/>
              </w:rPr>
            </w:pPr>
          </w:p>
        </w:tc>
      </w:tr>
      <w:tr>
        <w:trPr>
          <w:trHeight w:val="150"/>
        </w:trPr>
        <w:tc>
          <w:tcPr>
            <w:tcW w:w="1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540" w:type="dxa"/>
            <w:vAlign w:val="bottom"/>
            <w:gridSpan w:val="10"/>
            <w:shd w:val="clear" w:color="auto" w:fill="CCEEFF"/>
          </w:tcPr>
          <w:p>
            <w:pPr>
              <w:spacing w:after="0" w:line="150" w:lineRule="exact"/>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filed with the SEC on April 11, 2022)</w:t>
              </w:r>
            </w:hyperlink>
          </w:p>
        </w:tc>
      </w:tr>
      <w:tr>
        <w:trPr>
          <w:trHeight w:val="44"/>
        </w:trPr>
        <w:tc>
          <w:tcPr>
            <w:tcW w:w="14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78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644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49"/>
        </w:trPr>
        <w:tc>
          <w:tcPr>
            <w:tcW w:w="1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0000FF"/>
              </w:rPr>
              <w:t>First Amendment to Loan and Security Agreement, dated February 20, 2026, by and among the Company, MoonLake AG, the Lenders party thereto and Hercules</w:t>
            </w:r>
          </w:p>
        </w:tc>
      </w:tr>
      <w:tr>
        <w:trPr>
          <w:trHeight w:val="139"/>
        </w:trPr>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80" w:type="dxa"/>
            <w:vAlign w:val="bottom"/>
            <w:tcBorders>
              <w:top w:val="single" w:sz="8" w:color="0000FF"/>
            </w:tcBorders>
            <w:gridSpan w:val="6"/>
          </w:tcPr>
          <w:p>
            <w:pPr>
              <w:spacing w:after="0" w:line="139" w:lineRule="exact"/>
              <w:rPr>
                <w:sz w:val="20"/>
                <w:szCs w:val="20"/>
                <w:color w:val="auto"/>
              </w:rPr>
            </w:pPr>
            <w:r>
              <w:rPr>
                <w:rFonts w:ascii="Times New Roman" w:cs="Times New Roman" w:eastAsia="Times New Roman" w:hAnsi="Times New Roman"/>
                <w:sz w:val="14"/>
                <w:szCs w:val="14"/>
                <w:color w:val="0000FF"/>
              </w:rPr>
              <w:t>Capital Inc.</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3"/>
        </w:trPr>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9"/>
        </w:trPr>
        <w:tc>
          <w:tcPr>
            <w:tcW w:w="14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540" w:type="dxa"/>
            <w:vAlign w:val="bottom"/>
            <w:gridSpan w:val="10"/>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Securities Exchange Act Rules 13a-14(a) and 15(d)-14(a), as adopted Pursuant to Section 302 of the Sarbanes-</w:t>
            </w:r>
          </w:p>
        </w:tc>
      </w:tr>
      <w:tr>
        <w:trPr>
          <w:trHeight w:val="139"/>
        </w:trPr>
        <w:tc>
          <w:tcPr>
            <w:tcW w:w="14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420" w:type="dxa"/>
            <w:vAlign w:val="bottom"/>
            <w:tcBorders>
              <w:top w:val="single" w:sz="8" w:color="0000FF"/>
            </w:tcBorders>
            <w:gridSpan w:val="7"/>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FF"/>
              </w:rPr>
              <w:t>Oxley Act of 2002</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33"/>
        </w:trPr>
        <w:tc>
          <w:tcPr>
            <w:tcW w:w="14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4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49"/>
        </w:trPr>
        <w:tc>
          <w:tcPr>
            <w:tcW w:w="1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Principal Financial and Accounting Officer Pursuant to Securities Exchange Act Rules 13a-14(a) and 15(d)-14(a), as adopted Pursuant to Section 302 of</w:t>
            </w:r>
          </w:p>
        </w:tc>
      </w:tr>
      <w:tr>
        <w:trPr>
          <w:trHeight w:val="139"/>
        </w:trPr>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9"/>
          </w:tcPr>
          <w:p>
            <w:pPr>
              <w:spacing w:after="0" w:line="139" w:lineRule="exact"/>
              <w:rPr>
                <w:sz w:val="20"/>
                <w:szCs w:val="20"/>
                <w:color w:val="auto"/>
              </w:rPr>
            </w:pPr>
            <w:r>
              <w:rPr>
                <w:rFonts w:ascii="Times New Roman" w:cs="Times New Roman" w:eastAsia="Times New Roman" w:hAnsi="Times New Roman"/>
                <w:sz w:val="14"/>
                <w:szCs w:val="14"/>
                <w:color w:val="0000FF"/>
              </w:rPr>
              <w:t>the Sarbanes-Oxley Act of 2002</w:t>
            </w:r>
          </w:p>
        </w:tc>
        <w:tc>
          <w:tcPr>
            <w:tcW w:w="20" w:type="dxa"/>
            <w:vAlign w:val="bottom"/>
          </w:tcPr>
          <w:p>
            <w:pPr>
              <w:spacing w:after="0"/>
              <w:rPr>
                <w:sz w:val="12"/>
                <w:szCs w:val="12"/>
                <w:color w:val="auto"/>
              </w:rPr>
            </w:pPr>
          </w:p>
        </w:tc>
      </w:tr>
      <w:tr>
        <w:trPr>
          <w:trHeight w:val="33"/>
        </w:trPr>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146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560" w:type="dxa"/>
            <w:vAlign w:val="bottom"/>
            <w:tcBorders>
              <w:bottom w:val="single" w:sz="8" w:color="0000FF"/>
            </w:tcBorders>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 1350, as adopted Pursuant to Section 906 of the Sarbanes-Oxley Act of 2002</w:t>
            </w:r>
          </w:p>
        </w:tc>
        <w:tc>
          <w:tcPr>
            <w:tcW w:w="980" w:type="dxa"/>
            <w:vAlign w:val="bottom"/>
            <w:tcBorders>
              <w:bottom w:val="single" w:sz="8" w:color="CCEEFF"/>
            </w:tcBorders>
            <w:gridSpan w:val="5"/>
            <w:shd w:val="clear" w:color="auto" w:fill="CCEEFF"/>
          </w:tcPr>
          <w:p>
            <w:pPr>
              <w:spacing w:after="0"/>
              <w:rPr>
                <w:sz w:val="15"/>
                <w:szCs w:val="15"/>
                <w:color w:val="auto"/>
              </w:rPr>
            </w:pPr>
          </w:p>
        </w:tc>
      </w:tr>
      <w:tr>
        <w:trPr>
          <w:trHeight w:val="149"/>
        </w:trPr>
        <w:tc>
          <w:tcPr>
            <w:tcW w:w="1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Principal Financial and Accounting Officer Pursuant to 18 U.S.C. Section 1350, as adopted Pursuant to Section 906 of the Sarbanes-Oxley Act of 2002</w:t>
            </w:r>
          </w:p>
        </w:tc>
      </w:tr>
      <w:tr>
        <w:trPr>
          <w:trHeight w:val="33"/>
        </w:trPr>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4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shd w:val="clear" w:color="auto" w:fill="CCEEFF"/>
          </w:tcPr>
          <w:p>
            <w:pPr>
              <w:spacing w:after="0"/>
              <w:rPr>
                <w:sz w:val="17"/>
                <w:szCs w:val="17"/>
                <w:color w:val="auto"/>
              </w:rPr>
            </w:pPr>
          </w:p>
        </w:tc>
        <w:tc>
          <w:tcPr>
            <w:tcW w:w="95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r>
      <w:tr>
        <w:trPr>
          <w:trHeight w:val="193"/>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6"/>
                <w:szCs w:val="16"/>
                <w:color w:val="auto"/>
              </w:rPr>
            </w:pPr>
          </w:p>
        </w:tc>
        <w:tc>
          <w:tcPr>
            <w:tcW w:w="95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10"/>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shd w:val="clear" w:color="auto" w:fill="CCEEFF"/>
          </w:tcPr>
          <w:p>
            <w:pPr>
              <w:spacing w:after="0"/>
              <w:rPr>
                <w:sz w:val="18"/>
                <w:szCs w:val="18"/>
                <w:color w:val="auto"/>
              </w:rPr>
            </w:pPr>
          </w:p>
        </w:tc>
        <w:tc>
          <w:tcPr>
            <w:tcW w:w="95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193"/>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6"/>
                <w:szCs w:val="16"/>
                <w:color w:val="auto"/>
              </w:rPr>
            </w:pPr>
          </w:p>
        </w:tc>
        <w:tc>
          <w:tcPr>
            <w:tcW w:w="95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10"/>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shd w:val="clear" w:color="auto" w:fill="CCEEFF"/>
          </w:tcPr>
          <w:p>
            <w:pPr>
              <w:spacing w:after="0"/>
              <w:rPr>
                <w:sz w:val="18"/>
                <w:szCs w:val="18"/>
                <w:color w:val="auto"/>
              </w:rPr>
            </w:pPr>
          </w:p>
        </w:tc>
        <w:tc>
          <w:tcPr>
            <w:tcW w:w="95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193"/>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16"/>
                <w:szCs w:val="16"/>
                <w:color w:val="auto"/>
              </w:rPr>
            </w:pPr>
          </w:p>
        </w:tc>
        <w:tc>
          <w:tcPr>
            <w:tcW w:w="95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210"/>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5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0200" w:firstLine="10"/>
        <w:spacing w:after="0" w:line="506" w:lineRule="auto"/>
        <w:tabs>
          <w:tab w:leader="none" w:pos="21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 ** Furnished.</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Indicates a management contract or compensatory plan.</w:t>
      </w:r>
    </w:p>
    <w:p>
      <w:pPr>
        <w:spacing w:after="0" w:line="17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Portions of the Exhibit have been omitted because they are both (i) customarily and actually treated as private and confidential and (ii) not material.</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MOONLAKE IMMUNOTHERAPEUTICS</w:t>
            </w:r>
          </w:p>
        </w:tc>
      </w:tr>
      <w:tr>
        <w:trPr>
          <w:trHeight w:val="424"/>
        </w:trPr>
        <w:tc>
          <w:tcPr>
            <w:tcW w:w="5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8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/s/ Dr. Jorge Santos da Silva</w:t>
            </w:r>
          </w:p>
        </w:tc>
      </w:tr>
      <w:tr>
        <w:trPr>
          <w:trHeight w:val="23"/>
        </w:trPr>
        <w:tc>
          <w:tcPr>
            <w:tcW w:w="5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r>
      <w:tr>
        <w:trPr>
          <w:trHeight w:val="191"/>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9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May 11, 2026</w:t>
            </w: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48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Dr. Jorge Santos da Silva</w:t>
            </w:r>
          </w:p>
        </w:tc>
      </w:tr>
      <w:tr>
        <w:trPr>
          <w:trHeight w:val="223"/>
        </w:trPr>
        <w:tc>
          <w:tcPr>
            <w:tcW w:w="5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48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223"/>
        </w:trPr>
        <w:tc>
          <w:tcPr>
            <w:tcW w:w="5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8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424"/>
        </w:trPr>
        <w:tc>
          <w:tcPr>
            <w:tcW w:w="5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8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/s/ Matthias Bodenstedt</w:t>
            </w:r>
          </w:p>
        </w:tc>
      </w:tr>
      <w:tr>
        <w:trPr>
          <w:trHeight w:val="23"/>
        </w:trPr>
        <w:tc>
          <w:tcPr>
            <w:tcW w:w="5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r>
      <w:tr>
        <w:trPr>
          <w:trHeight w:val="191"/>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9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May 11, 2026</w:t>
            </w: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48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Matthias Bodenstedt</w:t>
            </w:r>
          </w:p>
        </w:tc>
      </w:tr>
      <w:tr>
        <w:trPr>
          <w:trHeight w:val="223"/>
        </w:trPr>
        <w:tc>
          <w:tcPr>
            <w:tcW w:w="5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48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223"/>
        </w:trPr>
        <w:tc>
          <w:tcPr>
            <w:tcW w:w="5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8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280"/>
          </w:cols>
          <w:pgMar w:left="300" w:top="1438" w:right="319" w:bottom="1440"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Rules 13a-14(a) and 15d-14(a) under the Securities Exchange Act of 1934, 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Jorge Santos Da Silva, certify that:</w:t>
      </w:r>
    </w:p>
    <w:p>
      <w:pPr>
        <w:spacing w:after="0" w:line="104" w:lineRule="exact"/>
        <w:rPr>
          <w:sz w:val="20"/>
          <w:szCs w:val="20"/>
          <w:color w:val="auto"/>
        </w:rPr>
      </w:pPr>
    </w:p>
    <w:p>
      <w:pPr>
        <w:ind w:left="200" w:hanging="195"/>
        <w:spacing w:after="0"/>
        <w:tabs>
          <w:tab w:leader="none" w:pos="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MoonLake Immunotherapeutics;</w:t>
      </w:r>
    </w:p>
    <w:p>
      <w:pPr>
        <w:spacing w:after="0" w:line="104" w:lineRule="exact"/>
        <w:rPr>
          <w:rFonts w:ascii="Times New Roman" w:cs="Times New Roman" w:eastAsia="Times New Roman" w:hAnsi="Times New Roman"/>
          <w:sz w:val="14"/>
          <w:szCs w:val="14"/>
          <w:color w:val="auto"/>
        </w:rPr>
      </w:pPr>
    </w:p>
    <w:p>
      <w:pPr>
        <w:ind w:left="200" w:hanging="195"/>
        <w:spacing w:after="0" w:line="334" w:lineRule="auto"/>
        <w:tabs>
          <w:tab w:leader="none" w:pos="19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Times New Roman" w:cs="Times New Roman" w:eastAsia="Times New Roman" w:hAnsi="Times New Roman"/>
          <w:sz w:val="14"/>
          <w:szCs w:val="14"/>
          <w:color w:val="auto"/>
        </w:rPr>
      </w:pPr>
    </w:p>
    <w:p>
      <w:pPr>
        <w:ind w:left="200" w:hanging="195"/>
        <w:spacing w:after="0" w:line="334" w:lineRule="auto"/>
        <w:tabs>
          <w:tab w:leader="none" w:pos="19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 w:lineRule="exact"/>
        <w:rPr>
          <w:rFonts w:ascii="Times New Roman" w:cs="Times New Roman" w:eastAsia="Times New Roman" w:hAnsi="Times New Roman"/>
          <w:sz w:val="14"/>
          <w:szCs w:val="14"/>
          <w:color w:val="auto"/>
        </w:rPr>
      </w:pPr>
    </w:p>
    <w:p>
      <w:pPr>
        <w:ind w:left="200" w:hanging="195"/>
        <w:spacing w:after="0" w:line="334" w:lineRule="auto"/>
        <w:tabs>
          <w:tab w:leader="none" w:pos="19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w:t>
      </w:r>
    </w:p>
    <w:p>
      <w:pPr>
        <w:spacing w:after="0" w:line="51" w:lineRule="exact"/>
        <w:rPr>
          <w:rFonts w:ascii="Times New Roman" w:cs="Times New Roman" w:eastAsia="Times New Roman" w:hAnsi="Times New Roman"/>
          <w:sz w:val="14"/>
          <w:szCs w:val="14"/>
          <w:color w:val="auto"/>
        </w:rPr>
      </w:pPr>
    </w:p>
    <w:p>
      <w:pPr>
        <w:ind w:left="1020"/>
        <w:spacing w:after="0" w:line="33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relating to the registrant, including its consolidated subsidiaries, is made known to us by others within those entities, particularly during the period in which this report is being prepared;</w:t>
      </w:r>
    </w:p>
    <w:p>
      <w:pPr>
        <w:spacing w:after="0" w:line="18" w:lineRule="exact"/>
        <w:rPr>
          <w:rFonts w:ascii="Times New Roman" w:cs="Times New Roman" w:eastAsia="Times New Roman" w:hAnsi="Times New Roman"/>
          <w:sz w:val="14"/>
          <w:szCs w:val="14"/>
          <w:color w:val="auto"/>
        </w:rPr>
      </w:pPr>
    </w:p>
    <w:p>
      <w:pPr>
        <w:jc w:val="both"/>
        <w:ind w:left="1020" w:hanging="251"/>
        <w:spacing w:after="0" w:line="343" w:lineRule="auto"/>
        <w:tabs>
          <w:tab w:leader="none" w:pos="1108"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Times New Roman" w:cs="Times New Roman" w:eastAsia="Times New Roman" w:hAnsi="Times New Roman"/>
          <w:sz w:val="14"/>
          <w:szCs w:val="14"/>
          <w:color w:val="auto"/>
        </w:rPr>
      </w:pPr>
    </w:p>
    <w:p>
      <w:pPr>
        <w:ind w:left="1020" w:hanging="251"/>
        <w:spacing w:after="0" w:line="334" w:lineRule="auto"/>
        <w:tabs>
          <w:tab w:leader="none" w:pos="1039"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4"/>
          <w:szCs w:val="14"/>
          <w:color w:val="auto"/>
        </w:rPr>
      </w:pPr>
    </w:p>
    <w:p>
      <w:pPr>
        <w:ind w:left="1020" w:hanging="251"/>
        <w:spacing w:after="0" w:line="334" w:lineRule="auto"/>
        <w:tabs>
          <w:tab w:leader="none" w:pos="1045"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 w:lineRule="exact"/>
        <w:rPr>
          <w:rFonts w:ascii="Times New Roman" w:cs="Times New Roman" w:eastAsia="Times New Roman" w:hAnsi="Times New Roman"/>
          <w:sz w:val="14"/>
          <w:szCs w:val="14"/>
          <w:color w:val="auto"/>
        </w:rPr>
      </w:pPr>
    </w:p>
    <w:p>
      <w:pPr>
        <w:ind w:left="200" w:hanging="195"/>
        <w:spacing w:after="0" w:line="334" w:lineRule="auto"/>
        <w:tabs>
          <w:tab w:leader="none" w:pos="19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 w:lineRule="exact"/>
        <w:rPr>
          <w:rFonts w:ascii="Times New Roman" w:cs="Times New Roman" w:eastAsia="Times New Roman" w:hAnsi="Times New Roman"/>
          <w:sz w:val="14"/>
          <w:szCs w:val="14"/>
          <w:color w:val="auto"/>
        </w:rPr>
      </w:pPr>
    </w:p>
    <w:p>
      <w:pPr>
        <w:ind w:left="1020" w:hanging="251"/>
        <w:spacing w:after="0" w:line="334" w:lineRule="auto"/>
        <w:tabs>
          <w:tab w:leader="none" w:pos="1013"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May 11, 2026</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Jorge Santos Da Silva</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Jorge Santos Da Silva</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1159" w:right="31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Rules 13a-14(a) and 15d-14(a) under the Securities Exchange Act of 1934, 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Matthias Bodenstedt, certify that:</w:t>
      </w:r>
    </w:p>
    <w:p>
      <w:pPr>
        <w:spacing w:after="0" w:line="104" w:lineRule="exact"/>
        <w:rPr>
          <w:sz w:val="20"/>
          <w:szCs w:val="20"/>
          <w:color w:val="auto"/>
        </w:rPr>
      </w:pPr>
    </w:p>
    <w:p>
      <w:pPr>
        <w:ind w:left="200" w:hanging="195"/>
        <w:spacing w:after="0"/>
        <w:tabs>
          <w:tab w:leader="none" w:pos="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MoonLake Immunotherapeutics;</w:t>
      </w:r>
    </w:p>
    <w:p>
      <w:pPr>
        <w:spacing w:after="0" w:line="104" w:lineRule="exact"/>
        <w:rPr>
          <w:rFonts w:ascii="Times New Roman" w:cs="Times New Roman" w:eastAsia="Times New Roman" w:hAnsi="Times New Roman"/>
          <w:sz w:val="14"/>
          <w:szCs w:val="14"/>
          <w:color w:val="auto"/>
        </w:rPr>
      </w:pPr>
    </w:p>
    <w:p>
      <w:pPr>
        <w:ind w:left="200" w:hanging="195"/>
        <w:spacing w:after="0" w:line="334" w:lineRule="auto"/>
        <w:tabs>
          <w:tab w:leader="none" w:pos="19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Times New Roman" w:cs="Times New Roman" w:eastAsia="Times New Roman" w:hAnsi="Times New Roman"/>
          <w:sz w:val="14"/>
          <w:szCs w:val="14"/>
          <w:color w:val="auto"/>
        </w:rPr>
      </w:pPr>
    </w:p>
    <w:p>
      <w:pPr>
        <w:ind w:left="200" w:hanging="195"/>
        <w:spacing w:after="0" w:line="334" w:lineRule="auto"/>
        <w:tabs>
          <w:tab w:leader="none" w:pos="19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 w:lineRule="exact"/>
        <w:rPr>
          <w:rFonts w:ascii="Times New Roman" w:cs="Times New Roman" w:eastAsia="Times New Roman" w:hAnsi="Times New Roman"/>
          <w:sz w:val="14"/>
          <w:szCs w:val="14"/>
          <w:color w:val="auto"/>
        </w:rPr>
      </w:pPr>
    </w:p>
    <w:p>
      <w:pPr>
        <w:ind w:left="200" w:hanging="195"/>
        <w:spacing w:after="0" w:line="334" w:lineRule="auto"/>
        <w:tabs>
          <w:tab w:leader="none" w:pos="19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w:t>
      </w:r>
    </w:p>
    <w:p>
      <w:pPr>
        <w:spacing w:after="0" w:line="51" w:lineRule="exact"/>
        <w:rPr>
          <w:rFonts w:ascii="Times New Roman" w:cs="Times New Roman" w:eastAsia="Times New Roman" w:hAnsi="Times New Roman"/>
          <w:sz w:val="14"/>
          <w:szCs w:val="14"/>
          <w:color w:val="auto"/>
        </w:rPr>
      </w:pPr>
    </w:p>
    <w:p>
      <w:pPr>
        <w:ind w:left="1020"/>
        <w:spacing w:after="0" w:line="33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relating to the registrant, including its consolidated subsidiaries, is made known to us by others within those entities, particularly during the period in which this report is being prepared;</w:t>
      </w:r>
    </w:p>
    <w:p>
      <w:pPr>
        <w:spacing w:after="0" w:line="18" w:lineRule="exact"/>
        <w:rPr>
          <w:rFonts w:ascii="Times New Roman" w:cs="Times New Roman" w:eastAsia="Times New Roman" w:hAnsi="Times New Roman"/>
          <w:sz w:val="14"/>
          <w:szCs w:val="14"/>
          <w:color w:val="auto"/>
        </w:rPr>
      </w:pPr>
    </w:p>
    <w:p>
      <w:pPr>
        <w:jc w:val="both"/>
        <w:ind w:left="1020" w:hanging="251"/>
        <w:spacing w:after="0" w:line="343" w:lineRule="auto"/>
        <w:tabs>
          <w:tab w:leader="none" w:pos="1108"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Times New Roman" w:cs="Times New Roman" w:eastAsia="Times New Roman" w:hAnsi="Times New Roman"/>
          <w:sz w:val="14"/>
          <w:szCs w:val="14"/>
          <w:color w:val="auto"/>
        </w:rPr>
      </w:pPr>
    </w:p>
    <w:p>
      <w:pPr>
        <w:ind w:left="1020" w:hanging="251"/>
        <w:spacing w:after="0" w:line="334" w:lineRule="auto"/>
        <w:tabs>
          <w:tab w:leader="none" w:pos="1039"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4"/>
          <w:szCs w:val="14"/>
          <w:color w:val="auto"/>
        </w:rPr>
      </w:pPr>
    </w:p>
    <w:p>
      <w:pPr>
        <w:ind w:left="1020" w:hanging="251"/>
        <w:spacing w:after="0" w:line="334" w:lineRule="auto"/>
        <w:tabs>
          <w:tab w:leader="none" w:pos="1045"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 w:lineRule="exact"/>
        <w:rPr>
          <w:rFonts w:ascii="Times New Roman" w:cs="Times New Roman" w:eastAsia="Times New Roman" w:hAnsi="Times New Roman"/>
          <w:sz w:val="14"/>
          <w:szCs w:val="14"/>
          <w:color w:val="auto"/>
        </w:rPr>
      </w:pPr>
    </w:p>
    <w:p>
      <w:pPr>
        <w:ind w:left="200" w:hanging="195"/>
        <w:spacing w:after="0" w:line="334" w:lineRule="auto"/>
        <w:tabs>
          <w:tab w:leader="none" w:pos="19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 w:lineRule="exact"/>
        <w:rPr>
          <w:rFonts w:ascii="Times New Roman" w:cs="Times New Roman" w:eastAsia="Times New Roman" w:hAnsi="Times New Roman"/>
          <w:sz w:val="14"/>
          <w:szCs w:val="14"/>
          <w:color w:val="auto"/>
        </w:rPr>
      </w:pPr>
    </w:p>
    <w:p>
      <w:pPr>
        <w:ind w:left="1020" w:hanging="251"/>
        <w:spacing w:after="0" w:line="334" w:lineRule="auto"/>
        <w:tabs>
          <w:tab w:leader="none" w:pos="1013"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May 11, 2026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Matthias Bodenstedt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Matthias Bodenstedt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and accounting officer)</w:t>
      </w:r>
    </w:p>
    <w:p>
      <w:pPr>
        <w:sectPr>
          <w:pgSz w:w="11900" w:h="16838" w:orient="portrait"/>
          <w:cols w:equalWidth="0" w:num="1">
            <w:col w:w="11280"/>
          </w:cols>
          <w:pgMar w:left="300" w:top="1158" w:right="31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3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I, Jorge Santos Da Silva, to the best of my knowledge certify, pursuant to 18 U.S.C. Section 1350, as adopted pursuant to Section 906 of the Sarbanes-Oxley Act of 2002, that the Quarterly Report on Form 10-Q of MoonLake Immunotherapeutics (the “Company”) for the period ended March 31, 2026 (the “Report”), fully complies with the requirements of Section 13(a) or Section 15(d) of the Securities Exchange Act of 1934 and that the information contained in the Report fairly presents, in all material respects, the financial condition and results of operations of the Company.</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May 11, 2026</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Jorge Santos Da Silva</w:t>
      </w:r>
    </w:p>
    <w:p>
      <w:pPr>
        <w:spacing w:after="0" w:line="51" w:lineRule="exact"/>
        <w:rPr>
          <w:sz w:val="20"/>
          <w:szCs w:val="20"/>
          <w:color w:val="auto"/>
        </w:rPr>
      </w:pPr>
    </w:p>
    <w:p>
      <w:pPr>
        <w:jc w:val="right"/>
        <w:ind w:right="9460"/>
        <w:spacing w:after="0"/>
        <w:rPr>
          <w:sz w:val="20"/>
          <w:szCs w:val="20"/>
          <w:color w:val="auto"/>
        </w:rPr>
      </w:pPr>
      <w:r>
        <w:rPr>
          <w:rFonts w:ascii="Times New Roman" w:cs="Times New Roman" w:eastAsia="Times New Roman" w:hAnsi="Times New Roman"/>
          <w:sz w:val="14"/>
          <w:szCs w:val="14"/>
          <w:color w:val="auto"/>
        </w:rPr>
        <w:t>Name: Jorge Santos Da Silva</w:t>
      </w:r>
    </w:p>
    <w:p>
      <w:pPr>
        <w:spacing w:after="0" w:line="62" w:lineRule="exact"/>
        <w:rPr>
          <w:sz w:val="20"/>
          <w:szCs w:val="20"/>
          <w:color w:val="auto"/>
        </w:rPr>
      </w:pPr>
    </w:p>
    <w:p>
      <w:pPr>
        <w:jc w:val="right"/>
        <w:ind w:right="942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70" w:lineRule="exact"/>
        <w:rPr>
          <w:sz w:val="20"/>
          <w:szCs w:val="20"/>
          <w:color w:val="auto"/>
        </w:rPr>
      </w:pPr>
    </w:p>
    <w:p>
      <w:pPr>
        <w:jc w:val="right"/>
        <w:ind w:right="9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executive officer</w:t>
      </w:r>
      <w:r>
        <w:rPr>
          <w:rFonts w:ascii="Times New Roman" w:cs="Times New Roman" w:eastAsia="Times New Roman" w:hAnsi="Times New Roman"/>
          <w:sz w:val="16"/>
          <w:szCs w:val="16"/>
          <w:color w:val="auto"/>
        </w:rPr>
        <w:t>)</w:t>
      </w:r>
    </w:p>
    <w:p>
      <w:pPr>
        <w:spacing w:after="0" w:line="23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6"/>
          <w:szCs w:val="16"/>
          <w:color w:val="auto"/>
        </w:rPr>
        <w:t>The foregoing certification is being furnished solely to accompany the Report pursuant to 18 U.S.C. Section 1350, and is not being filed for purposes of Section 18 of the Securities Exchange Act of 1934, and is not to be incorporated by reference into any filing of the Company, whether made before or after the date hereof, regardless of any general incorporation language in such filing.</w:t>
      </w:r>
    </w:p>
    <w:p>
      <w:pPr>
        <w:spacing w:after="0" w:line="159"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6"/>
          <w:szCs w:val="16"/>
          <w:color w:val="auto"/>
        </w:rPr>
        <w:t>Note: A signed original of this written statement required by Section 906 has been provided to MoonLake Immunotherapeutics and will be retained by MoonLake Immunotherapeutics and furnished to the Securities and Exchange Commission or its staff upon request.</w:t>
      </w:r>
    </w:p>
    <w:p>
      <w:pPr>
        <w:sectPr>
          <w:pgSz w:w="11900" w:h="16838" w:orient="portrait"/>
          <w:cols w:equalWidth="0" w:num="1">
            <w:col w:w="11280"/>
          </w:cols>
          <w:pgMar w:left="300" w:top="1165" w:right="31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3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I, Matthias Bodenstedt, to the best of my knowledge certify, pursuant to 18 U.S.C. Section 1350, as adopted pursuant to Section 906 of the Sarbanes-Oxley Act of 2002, that the Quarterly Report on Form 10-Q of MoonLake Immunotherapeutics (the “Company”) for the period ended March 31, 2026 (the “Report”), fully complies with the requirements of Section 13(a) or Section 15(d) of the Securities Exchange Act of 1934 and that the information contained in the Report fairly presents, in all material respects, the financial condition and results of operations of the Company.</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May 11, 2026</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Matthias Bodenstedt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Matthias Bodenstedt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Chief Financial Officer</w:t>
      </w:r>
    </w:p>
    <w:p>
      <w:pPr>
        <w:spacing w:after="0" w:line="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financial and accounting officer</w:t>
      </w:r>
      <w:r>
        <w:rPr>
          <w:rFonts w:ascii="Times New Roman" w:cs="Times New Roman" w:eastAsia="Times New Roman" w:hAnsi="Times New Roman"/>
          <w:sz w:val="16"/>
          <w:szCs w:val="16"/>
          <w:color w:val="auto"/>
        </w:rPr>
        <w:t>)</w:t>
      </w:r>
    </w:p>
    <w:p>
      <w:pPr>
        <w:spacing w:after="0" w:line="23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6"/>
          <w:szCs w:val="16"/>
          <w:color w:val="auto"/>
        </w:rPr>
        <w:t>The foregoing certification is being furnished solely to accompany the Report pursuant to 18 U.S.C. Section 1350, and is not being filed for purposes of Section 18 of the Securities Exchange Act of 1934, and is not to be incorporated by reference into any filing of the Company, whether made before or after the date hereof, regardless of any general incorporation language in such filing.</w:t>
      </w:r>
    </w:p>
    <w:p>
      <w:pPr>
        <w:spacing w:after="0" w:line="159"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6"/>
          <w:szCs w:val="16"/>
          <w:color w:val="auto"/>
        </w:rPr>
        <w:t>Note: A signed original of this written statement required by Section 906 has been provided to MoonLake Immunotherapeutics and will be retained by MoonLake Immunotherapeutics and furnished to the Securities and Exchange Commission or its staff upon request.</w:t>
      </w:r>
    </w:p>
    <w:sectPr>
      <w:pgSz w:w="11900" w:h="16838" w:orient="portrait"/>
      <w:cols w:equalWidth="0" w:num="1">
        <w:col w:w="11280"/>
      </w:cols>
      <w:pgMar w:left="300" w:top="116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lvl w:ilvl="1">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70" Type="http://schemas.openxmlformats.org/officeDocument/2006/relationships/hyperlink" Target="https://www.sec.gov/Archives/edgar/data/1821586/000121390022019217/ea158227ex3-1_moonlak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2026-05-11T08:01:02Z</dcterms:created>
  <dcterms:modified xsi:type="dcterms:W3CDTF">2026-05-11T08:01:02Z</dcterms:modified>
</cp:coreProperties>
</file>