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Reich Kristian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MOONLAKE IMMUNOTHERAPEUTICS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DORFSTRASSE 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MoonLake Immunotherapeutics</w:t>
              </w:r>
            </w:hyperlink>
            <w:r>
              <w:rPr/>
              <w:t xml:space="preserve"> [ </w:t>
            </w:r>
            <w:r>
              <w:rPr>
                <w:rFonts w:ascii="Times;serif" w:hAnsi="Times;serif"/>
                <w:color w:val="0000FF"/>
                <w:sz w:val="24"/>
                <w:shd w:fill="FFFFFF" w:val="clear"/>
              </w:rPr>
              <w:t>MLTX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00"/>
        <w:gridCol w:w="771"/>
        <w:gridCol w:w="598"/>
        <w:gridCol w:w="342"/>
        <w:gridCol w:w="914"/>
        <w:gridCol w:w="438"/>
        <w:gridCol w:w="789"/>
        <w:gridCol w:w="1257"/>
        <w:gridCol w:w="977"/>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20.01</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2,808,446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35,389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represents the weighted average sale price per share. The shares were sold in multiple transactions at prices ranging from $20.00 to $20.04. Upon request by the staff of the U.S. Securities and Exchange Commission,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ordinary shares of the Issuer owned by JeruCON Beratungsgesellschaft mbH. Dr. Reich directly (whether through ownership or position) or indirectly through one or more intermediaries, may be deemed for purposes of Section 16 of the Securities Exchange Act of 1934, as amended, to be the indirect beneficial owner of the ordinary shares owned by JeruCON Beratungsgesellschaft mbH.</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Matthias Bodenstedt, Attorney-in-fact for Kristian Reich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20553" TargetMode="External"/><Relationship Id="rId5" Type="http://schemas.openxmlformats.org/officeDocument/2006/relationships/hyperlink" Target="http://www.sec.gov/cgi-bin/browse-edgar?action=getcompany&amp;CIK=0001821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3996</Characters>
  <CharactersWithSpaces>4649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