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Times;serif" w:hAnsi="Times New Roman;Times;serif"/>
          <w:b/>
          <w:color w:val="000000"/>
          <w:sz w:val="28"/>
        </w:rPr>
      </w:pPr>
      <w:bookmarkStart w:id="0" w:name="ny20045184x1_def14a_100-regcov_pg1"/>
      <w:bookmarkStart w:id="1" w:name="ny20067252x2_defa14a.htm"/>
      <w:bookmarkStart w:id="2" w:name="ksny20067252x2_defa14a"/>
      <w:bookmarkEnd w:id="0"/>
      <w:bookmarkEnd w:id="1"/>
      <w:bookmarkEnd w:id="2"/>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(Amendment No.  ) </w:t>
      </w:r>
    </w:p>
    <w:tbl>
      <w:tblPr>
        <w:tblW w:w="3995" w:type="dxa"/>
        <w:jc w:val="left"/>
        <w:tblInd w:w="0" w:type="dxa"/>
        <w:tblLayout w:type="fixed"/>
        <w:tblCellMar>
          <w:top w:w="0" w:type="dxa"/>
          <w:left w:w="0" w:type="dxa"/>
          <w:bottom w:w="0" w:type="dxa"/>
          <w:right w:w="0" w:type="dxa"/>
        </w:tblCellMar>
      </w:tblPr>
      <w:tblGrid>
        <w:gridCol w:w="3410"/>
        <w:gridCol w:w="140"/>
        <w:gridCol w:w="140"/>
        <w:gridCol w:w="305"/>
      </w:tblGrid>
      <w:tr>
        <w:trPr/>
        <w:tc>
          <w:tcPr>
            <w:tcW w:w="34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color w:val="000000"/>
              </w:rPr>
            </w:pPr>
            <w:r>
              <w:rPr>
                <w:color w:val="000000"/>
              </w:rPr>
              <w:t> ☐</w:t>
            </w:r>
          </w:p>
        </w:tc>
      </w:tr>
      <w:tr>
        <w:trPr/>
        <w:tc>
          <w:tcPr>
            <w:tcW w:w="34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850" w:type="dxa"/>
        <w:jc w:val="left"/>
        <w:tblInd w:w="0" w:type="dxa"/>
        <w:tblLayout w:type="fixed"/>
        <w:tblCellMar>
          <w:top w:w="0" w:type="dxa"/>
          <w:left w:w="0" w:type="dxa"/>
          <w:bottom w:w="0" w:type="dxa"/>
          <w:right w:w="0" w:type="dxa"/>
        </w:tblCellMar>
      </w:tblPr>
      <w:tblGrid>
        <w:gridCol w:w="275"/>
        <w:gridCol w:w="6575"/>
      </w:tblGrid>
      <w:tr>
        <w:trPr/>
        <w:tc>
          <w:tcPr>
            <w:tcW w:w="275" w:type="dxa"/>
            <w:tcBorders/>
            <w:vAlign w:val="center"/>
          </w:tcPr>
          <w:p>
            <w:pPr>
              <w:pStyle w:val="TableContents"/>
              <w:bidi w:val="0"/>
              <w:spacing w:before="0" w:after="0"/>
              <w:jc w:val="left"/>
              <w:rPr>
                <w:color w:val="000000"/>
              </w:rPr>
            </w:pPr>
            <w:r>
              <w:rPr>
                <w:color w:val="000000"/>
              </w:rPr>
              <w:t> ☐</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jc w:val="left"/>
              <w:rPr>
                <w:color w:val="000000"/>
              </w:rPr>
            </w:pPr>
            <w:r>
              <w:rPr>
                <w:color w:val="000000"/>
              </w:rPr>
              <w:t> ☐</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tbl>
      <w:tblPr>
        <w:tblW w:w="6200" w:type="dxa"/>
        <w:jc w:val="left"/>
        <w:tblInd w:w="0" w:type="dxa"/>
        <w:tblLayout w:type="fixed"/>
        <w:tblCellMar>
          <w:top w:w="0" w:type="dxa"/>
          <w:left w:w="0" w:type="dxa"/>
          <w:bottom w:w="0" w:type="dxa"/>
          <w:right w:w="0" w:type="dxa"/>
        </w:tblCellMar>
      </w:tblPr>
      <w:tblGrid>
        <w:gridCol w:w="6200"/>
      </w:tblGrid>
      <w:tr>
        <w:trPr/>
        <w:tc>
          <w:tcPr>
            <w:tcW w:w="6200" w:type="dxa"/>
            <w:tcBorders/>
            <w:vAlign w:val="center"/>
          </w:tcPr>
          <w:p>
            <w:pPr>
              <w:pStyle w:val="TableContents"/>
              <w:bidi w:val="0"/>
              <w:spacing w:before="0" w:after="0"/>
              <w:jc w:val="left"/>
              <w:rPr/>
            </w:pPr>
            <w:r>
              <w:rPr/>
              <w:t> </w:t>
            </w:r>
          </w:p>
        </w:tc>
      </w:tr>
      <w:tr>
        <w:trPr/>
        <w:tc>
          <w:tcPr>
            <w:tcW w:w="6200" w:type="dxa"/>
            <w:tcBorders/>
            <w:vAlign w:val="center"/>
          </w:tcPr>
          <w:p>
            <w:pPr>
              <w:pStyle w:val="TableContents"/>
              <w:bidi w:val="0"/>
              <w:spacing w:before="0" w:after="283"/>
              <w:jc w:val="center"/>
              <w:rPr>
                <w:rFonts w:ascii="Times New Roman;Times;serif" w:hAnsi="Times New Roman;Times;serif"/>
                <w:b/>
                <w:color w:val="000000"/>
                <w:sz w:val="44"/>
              </w:rPr>
            </w:pPr>
            <w:r>
              <w:rPr>
                <w:rFonts w:ascii="Times New Roman;Times;serif" w:hAnsi="Times New Roman;Times;serif"/>
                <w:b/>
                <w:color w:val="000000"/>
                <w:sz w:val="44"/>
              </w:rPr>
              <w:t xml:space="preserve">MoonLake Immunotherapeutics </w:t>
            </w:r>
          </w:p>
        </w:tc>
      </w:tr>
      <w:tr>
        <w:trPr/>
        <w:tc>
          <w:tcPr>
            <w:tcW w:w="6200" w:type="dxa"/>
            <w:tcBorders/>
            <w:vAlign w:val="center"/>
          </w:tcPr>
          <w:p>
            <w:pPr>
              <w:pStyle w:val="TableContents"/>
              <w:bidi w:val="0"/>
              <w:spacing w:before="0" w:after="0"/>
              <w:jc w:val="left"/>
              <w:rPr>
                <w:color w:val="000000"/>
              </w:rPr>
            </w:pPr>
            <w:r>
              <w:rPr>
                <w:color w:val="000000"/>
              </w:rPr>
              <w:t> </w:t>
            </w:r>
          </w:p>
        </w:tc>
      </w:tr>
      <w:tr>
        <w:trPr/>
        <w:tc>
          <w:tcPr>
            <w:tcW w:w="62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(Name of Registrant as Specified In Its Charter) </w:t>
            </w:r>
          </w:p>
        </w:tc>
      </w:tr>
      <w:tr>
        <w:trPr/>
        <w:tc>
          <w:tcPr>
            <w:tcW w:w="62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tc>
      </w:tr>
      <w:tr>
        <w:trPr/>
        <w:tc>
          <w:tcPr>
            <w:tcW w:w="620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585" w:type="dxa"/>
        <w:jc w:val="left"/>
        <w:tblInd w:w="0" w:type="dxa"/>
        <w:tblLayout w:type="fixed"/>
        <w:tblCellMar>
          <w:top w:w="0" w:type="dxa"/>
          <w:left w:w="0" w:type="dxa"/>
          <w:bottom w:w="0" w:type="dxa"/>
          <w:right w:w="0" w:type="dxa"/>
        </w:tblCellMar>
      </w:tblPr>
      <w:tblGrid>
        <w:gridCol w:w="230"/>
        <w:gridCol w:w="1355"/>
      </w:tblGrid>
      <w:tr>
        <w:trPr/>
        <w:tc>
          <w:tcPr>
            <w:tcW w:w="23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0"/>
              <w:jc w:val="left"/>
              <w:rPr>
                <w:color w:val="000000"/>
              </w:rPr>
            </w:pPr>
            <w:r>
              <w:rPr>
                <w:color w:val="000000"/>
              </w:rPr>
              <w:t> ☐</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05" w:type="dxa"/>
        <w:jc w:val="left"/>
        <w:tblInd w:w="0" w:type="dxa"/>
        <w:tblLayout w:type="fixed"/>
        <w:tblCellMar>
          <w:top w:w="0" w:type="dxa"/>
          <w:left w:w="0" w:type="dxa"/>
          <w:bottom w:w="0" w:type="dxa"/>
          <w:right w:w="0" w:type="dxa"/>
        </w:tblCellMar>
      </w:tblPr>
      <w:tblGrid>
        <w:gridCol w:w="275"/>
        <w:gridCol w:w="8330"/>
      </w:tblGrid>
      <w:tr>
        <w:trPr/>
        <w:tc>
          <w:tcPr>
            <w:tcW w:w="275" w:type="dxa"/>
            <w:tcBorders/>
            <w:vAlign w:val="center"/>
          </w:tcPr>
          <w:p>
            <w:pPr>
              <w:pStyle w:val="TableContents"/>
              <w:bidi w:val="0"/>
              <w:spacing w:before="0" w:after="0"/>
              <w:jc w:val="left"/>
              <w:rPr>
                <w:color w:val="000000"/>
              </w:rPr>
            </w:pPr>
            <w:r>
              <w:rPr>
                <w:color w:val="000000"/>
              </w:rPr>
              <w:t> ☐</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spacing w:before="240" w:after="283"/>
        <w:jc w:val="left"/>
        <w:rPr/>
      </w:pPr>
      <w:r>
        <w:rPr/>
      </w:r>
    </w:p>
    <w:p>
      <w:pPr>
        <w:pStyle w:val="TextBody"/>
        <w:bidi w:val="0"/>
        <w:spacing w:before="240" w:after="283"/>
        <w:jc w:val="center"/>
        <w:rPr>
          <w:color w:val="000000"/>
        </w:rPr>
      </w:pPr>
      <w:r>
        <w:rPr>
          <w:color w:val="000000"/>
        </w:rPr>
        <w:drawing>
          <wp:inline distT="0" distB="0" distL="0" distR="0">
            <wp:extent cx="6667500" cy="862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0" cy="8620125"/>
                    </a:xfrm>
                    <a:prstGeom prst="rect">
                      <a:avLst/>
                    </a:prstGeom>
                  </pic:spPr>
                </pic:pic>
              </a:graphicData>
            </a:graphic>
          </wp:inline>
        </w:drawing>
      </w:r>
    </w:p>
    <w:p>
      <w:pPr>
        <w:pStyle w:val="TextBody"/>
        <w:bidi w:val="0"/>
        <w:spacing w:before="240" w:after="283"/>
        <w:jc w:val="left"/>
        <w:rPr>
          <w:color w:val="FFFFFF"/>
        </w:rPr>
      </w:pPr>
      <w:r>
        <w:rPr>
          <w:color w:val="FFFFFF"/>
        </w:rPr>
        <w:t> </w:t>
      </w:r>
      <w:r>
        <w:rPr>
          <w:rFonts w:ascii="\;Times New Roman;Times;serif', 'font-size: 1pt'" w:hAnsi="\;Times New Roman;Times;serif', 'font-size: 1pt'"/>
          <w:color w:val="FFFFFF"/>
        </w:rPr>
        <w:t>Your Vote Counts!  *Please check the meeting materials for any special requirements for meeting attendance. At the meeting, you will need to request a ballot to vote these shares.  Smartphone users  Point your camera here and vote without entering a control number  For complete information and to vote, visit www.ProxyVote.com  Control #  V90809-P50459  MOONLAKE IMMUNOTHERAPEUTICS DORFSTRASSE 29  ZUG, SWITZERLAND 6300  MOONLAKE IMMUNOTHERAPEUTICS  2026 Annual General Meeting of Shareholders  Vote by June 3, 2026  11:59 PM ET  You invested in MOONLAKE IMMUNOTHERAPEUTICS and it’s time to vote!  You have the right to vote on proposals being presented at the Annual General Meeting of Shareholders. This is an important notice  regarding the availability of proxy materials for the shareholder meeting to be held on June 4, 2026.  Get informed before you vote  View the Notice, Proxy Statement and Annual Report online OR you can receive a free paper or email copy of the material(s) by  requesting prior to May 21,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Vote in Person at the Meeting*  June 4, 2026  8:00 a.m. Eastern Time  At the offices of Gibson, Dunn &amp; Crutcher LLP Located at 200 Park Avenue  New York, New York 10166 </w:t>
      </w:r>
    </w:p>
    <w:p>
      <w:pPr>
        <w:pStyle w:val="TextBody"/>
        <w:bidi w:val="0"/>
        <w:spacing w:before="240" w:after="283"/>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40" w:after="283"/>
        <w:jc w:val="center"/>
        <w:rPr>
          <w:color w:val="000000"/>
        </w:rPr>
      </w:pPr>
      <w:r>
        <w:rPr>
          <w:color w:val="000000"/>
        </w:rPr>
        <w:drawing>
          <wp:inline distT="0" distB="0" distL="0" distR="0">
            <wp:extent cx="6667500" cy="8620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67500" cy="8620125"/>
                    </a:xfrm>
                    <a:prstGeom prst="rect">
                      <a:avLst/>
                    </a:prstGeom>
                  </pic:spPr>
                </pic:pic>
              </a:graphicData>
            </a:graphic>
          </wp:inline>
        </w:drawing>
      </w:r>
    </w:p>
    <w:p>
      <w:pPr>
        <w:pStyle w:val="TextBody"/>
        <w:bidi w:val="0"/>
        <w:spacing w:before="240" w:after="283"/>
        <w:jc w:val="left"/>
        <w:rPr>
          <w:color w:val="FFFFFF"/>
        </w:rPr>
      </w:pPr>
      <w:r>
        <w:rPr>
          <w:color w:val="FFFFFF"/>
        </w:rPr>
        <w:t> </w:t>
      </w:r>
      <w:r>
        <w:rPr>
          <w:rFonts w:ascii="\;Times New Roman;Times;serif', 'font-size: 1pt'" w:hAnsi="\;Times New Roman;Times;serif', 'font-size: 1pt'"/>
          <w:color w:val="FFFFFF"/>
        </w:rPr>
        <w:t>Vote at www.ProxyVote.com  THIS IS NOT A VOTABLE BALLOT  This is an overview of the more complete proxy materials that are available to you on the Internet. You may view the proxy materials at www.ProxyVote.com or easily request a paper copy. We encourage you to access and review all of the important information contained in the proxy materials before voting.  Please follow the instructions on the reverse side to vote on these important matters.  Prefer to receive an email instead? While voting on www.ProxyVote.com, be sure to click “Delivery Settings”.  V90810-P50459  1. Election of the Class I director nominee to serve until the 2029 Annual General Meeting of Shareholders and until his successor is duly elected and qualified.  For  Nominee:  1a. Spike Loy  2. Ratification, by ordinary resolution, of the selection of Baker Tilly US, LLP as the Company’s independent registered public accounting firm for the year ending December 31, 2026.  For  3. Approval of, on a non-binding, advisory basis, the compensation of the Company’s named executive officers.  For  4. Approval of an amendment and restatement of the Company’s 2022 Equity Incentive Plan.  For  NOTE: Such other business as may properly come before the meeting or any adjournments or postponements thereof.  Voting Items  Board Recommends </w:t>
      </w:r>
    </w:p>
    <w:p>
      <w:pPr>
        <w:pStyle w:val="TextBody"/>
        <w:bidi w:val="0"/>
        <w:spacing w:before="240" w:after="283"/>
        <w:jc w:val="center"/>
        <w:rPr>
          <w:color w:val="000000"/>
        </w:rPr>
      </w:pPr>
      <w:r>
        <w:rPr>
          <w:color w:val="000000"/>
        </w:rPr>
        <w:t xml:space="preserve">  </w:t>
      </w:r>
    </w:p>
    <w:p>
      <w:pPr>
        <w:pStyle w:val="HorizontalLine"/>
        <w:pBdr>
          <w:bottom w:val="single" w:sz="12" w:space="0" w:color="808080"/>
        </w:pBdr>
        <w:bidi w:val="0"/>
        <w:spacing w:before="24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3127</Characters>
  <CharactersWithSpaces>3775</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