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8054-8k_moonlake.htm"/>
      <w:bookmarkStart w:id="1" w:name="ksea02980548k_moonlake"/>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5_edei--DocumentType_c20260714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July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7_edei--EntityRegistrantName_c2026"/>
      <w:bookmarkEnd w:id="4"/>
      <w:r>
        <w:rPr>
          <w:rFonts w:ascii="Times New Roman;Times;Serif" w:hAnsi="Times New Roman;Times;Serif"/>
          <w:b/>
          <w:i w:val="false"/>
          <w:caps w:val="false"/>
          <w:smallCaps w:val="false"/>
          <w:sz w:val="20"/>
        </w:rPr>
        <w:t>MOONLAKE IMMUNOTHERAPEUTICS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75" w:type="dxa"/>
        <w:jc w:val="left"/>
        <w:tblInd w:w="0" w:type="dxa"/>
        <w:tblLayout w:type="fixed"/>
        <w:tblCellMar>
          <w:top w:w="0" w:type="dxa"/>
          <w:left w:w="0" w:type="dxa"/>
          <w:bottom w:w="28" w:type="dxa"/>
          <w:right w:w="0" w:type="dxa"/>
        </w:tblCellMar>
      </w:tblPr>
      <w:tblGrid>
        <w:gridCol w:w="2210"/>
        <w:gridCol w:w="60"/>
        <w:gridCol w:w="2210"/>
        <w:gridCol w:w="60"/>
        <w:gridCol w:w="1535"/>
      </w:tblGrid>
      <w:tr>
        <w:trPr/>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E_edei--EntityIncorporationStateCo"/>
            <w:bookmarkEnd w:id="5"/>
            <w:r>
              <w:rPr>
                <w:rFonts w:ascii="Times New Roman;Times;Serif" w:hAnsi="Times New Roman;Times;Serif"/>
                <w:b/>
                <w:i w:val="false"/>
                <w:caps w:val="false"/>
                <w:smallCaps w:val="false"/>
                <w:sz w:val="20"/>
              </w:rPr>
              <w:t>Cayman Islands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1_edei--EntityFileNumber_c20260714"/>
            <w:bookmarkEnd w:id="6"/>
            <w:r>
              <w:rPr>
                <w:rFonts w:ascii="Times New Roman;Times;Serif" w:hAnsi="Times New Roman;Times;Serif"/>
                <w:b/>
                <w:i w:val="false"/>
                <w:caps w:val="false"/>
                <w:smallCaps w:val="false"/>
                <w:sz w:val="20"/>
              </w:rPr>
              <w:t>001-39630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B_edei--EntityTaxIdentificationNum"/>
            <w:bookmarkEnd w:id="7"/>
            <w:r>
              <w:rPr>
                <w:rFonts w:ascii="Times New Roman;Times;Serif" w:hAnsi="Times New Roman;Times;Serif"/>
                <w:b/>
                <w:i w:val="false"/>
                <w:caps w:val="false"/>
                <w:smallCaps w:val="false"/>
                <w:sz w:val="20"/>
              </w:rPr>
              <w:t>98-1711963</w:t>
            </w:r>
          </w:p>
        </w:tc>
      </w:tr>
      <w:tr>
        <w:trPr/>
        <w:tc>
          <w:tcPr>
            <w:tcW w:w="221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(IRS Employer </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Dorfstrasse 29</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4_edei--EntityAddressPostalZipCode"/>
      <w:bookmarkEnd w:id="9"/>
      <w:r>
        <w:rPr>
          <w:rFonts w:ascii="Times New Roman;Times;Serif" w:hAnsi="Times New Roman;Times;Serif"/>
          <w:b/>
          <w:i w:val="false"/>
          <w:caps w:val="false"/>
          <w:smallCaps w:val="false"/>
          <w:sz w:val="20"/>
        </w:rPr>
        <w:t xml:space="preserve">6300 </w:t>
      </w:r>
      <w:bookmarkStart w:id="10" w:name="xdx_908_edei--EntityAddressCityOrTown_c2"/>
      <w:bookmarkEnd w:id="10"/>
      <w:r>
        <w:rPr>
          <w:rFonts w:ascii="Times New Roman;Times;Serif" w:hAnsi="Times New Roman;Times;Serif"/>
          <w:b/>
          <w:i w:val="false"/>
          <w:caps w:val="false"/>
          <w:smallCaps w:val="false"/>
          <w:sz w:val="20"/>
        </w:rPr>
        <w:t>Zug</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xdx_90F_edei--EntityAddressCountry_c2026"/>
      <w:bookmarkEnd w:id="11"/>
      <w:r>
        <w:rPr>
          <w:rFonts w:ascii="Times New Roman;Times;Serif" w:hAnsi="Times New Roman;Times;Serif"/>
          <w:b/>
          <w:i w:val="false"/>
          <w:caps w:val="false"/>
          <w:smallCaps w:val="false"/>
          <w:sz w:val="20"/>
        </w:rPr>
        <w:t>Switzerland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xdx_905_edei--CityAreaCode_c20260714__20"/>
      <w:bookmarkEnd w:id="12"/>
      <w:r>
        <w:rPr>
          <w:rFonts w:ascii="Times New Roman;Times;Serif" w:hAnsi="Times New Roman;Times;Serif"/>
          <w:b/>
          <w:i w:val="false"/>
          <w:caps w:val="false"/>
          <w:smallCaps w:val="false"/>
          <w:sz w:val="20"/>
        </w:rPr>
        <w:t xml:space="preserve">41 </w:t>
      </w:r>
      <w:bookmarkStart w:id="13" w:name="xdx_90E_edei--LocalPhoneNumber_c20260714"/>
      <w:bookmarkEnd w:id="13"/>
      <w:r>
        <w:rPr>
          <w:rFonts w:ascii="Times New Roman;Times;Serif" w:hAnsi="Times New Roman;Times;Serif"/>
          <w:b/>
          <w:i w:val="false"/>
          <w:caps w:val="false"/>
          <w:smallCaps w:val="false"/>
          <w:sz w:val="20"/>
        </w:rPr>
        <w:t>415108022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5_edei--WrittenCommunications_c202"/>
            <w:bookmarkEnd w:id="14"/>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0_edei--SolicitingMaterial_c202607"/>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0_edei--PreCommencementTenderOffer"/>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2_edei--PreCommencementIssuerTende"/>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615" w:type="dxa"/>
        <w:jc w:val="left"/>
        <w:tblInd w:w="0" w:type="dxa"/>
        <w:tblLayout w:type="fixed"/>
        <w:tblCellMar>
          <w:top w:w="0" w:type="dxa"/>
          <w:left w:w="0" w:type="dxa"/>
          <w:bottom w:w="28" w:type="dxa"/>
          <w:right w:w="0" w:type="dxa"/>
        </w:tblCellMar>
      </w:tblPr>
      <w:tblGrid>
        <w:gridCol w:w="4175"/>
        <w:gridCol w:w="60"/>
        <w:gridCol w:w="1610"/>
        <w:gridCol w:w="60"/>
        <w:gridCol w:w="3710"/>
      </w:tblGrid>
      <w:tr>
        <w:trPr/>
        <w:tc>
          <w:tcPr>
            <w:tcW w:w="417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41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C_edei--Security12bTitle_c20260714"/>
            <w:bookmarkEnd w:id="18"/>
            <w:r>
              <w:rPr>
                <w:rFonts w:ascii="Times New Roman;Times;Serif" w:hAnsi="Times New Roman;Times;Serif"/>
                <w:b w:val="false"/>
                <w:i w:val="false"/>
                <w:caps w:val="false"/>
                <w:smallCaps w:val="false"/>
                <w:sz w:val="20"/>
              </w:rPr>
              <w:t>Class A ordinary share, par value $0.0001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9_edei--TradingSymbol_c20260714__2"/>
            <w:bookmarkEnd w:id="19"/>
            <w:r>
              <w:rPr>
                <w:rFonts w:ascii="Times New Roman;Times;Serif" w:hAnsi="Times New Roman;Times;Serif"/>
                <w:b w:val="false"/>
                <w:i w:val="false"/>
                <w:caps w:val="false"/>
                <w:smallCaps w:val="false"/>
                <w:sz w:val="20"/>
              </w:rPr>
              <w:t>MLTX</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B_edei--SecurityExchangeName_c2026"/>
            <w:bookmarkEnd w:id="20"/>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D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firstLine="495"/>
        <w:jc w:val="left"/>
        <w:rPr>
          <w:caps w:val="false"/>
          <w:smallCaps w:val="false"/>
        </w:rPr>
      </w:pPr>
      <w:r>
        <w:rPr>
          <w:caps w:val="false"/>
          <w:smallCaps w:val="false"/>
        </w:rPr>
        <w:t> </w:t>
      </w:r>
    </w:p>
    <w:p>
      <w:pPr>
        <w:pStyle w:val="TextBody"/>
        <w:bidi w:val="0"/>
        <w:spacing w:before="0" w:after="0"/>
        <w:ind w:left="0" w:right="0" w:firstLine="49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2026, the underwriters of the previously announced public offering of Class A ordinary shares, par value $0.0001 per share (the “Ordinary Shares”), of MoonLake Immunotherapeutics (the “Company”) and, in lieu of Ordinary Shares to certain investors that so choose, pre-funded warrants to purchase Ordinary Shares, exercised in full their option (the “Option”) to purchase an additional 1,500,000 Ordinary Shares (the “Option Shares”). As a result of the exercise of the Option, the Company received additional gross proceeds of $30.0 million from the sale of the Option Shares, before deducting underwriting discounts and commissions and offering expenses. The closing of the issuance and sale of the Option Shares occurred on July 14, 2026.</w:t>
      </w:r>
    </w:p>
    <w:p>
      <w:pPr>
        <w:pStyle w:val="TextBody"/>
        <w:bidi w:val="0"/>
        <w:spacing w:before="0" w:after="0"/>
        <w:ind w:left="0" w:right="0" w:firstLine="495"/>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5355" w:type="dxa"/>
        <w:jc w:val="left"/>
        <w:tblInd w:w="0" w:type="dxa"/>
        <w:tblLayout w:type="fixed"/>
        <w:tblCellMar>
          <w:top w:w="0" w:type="dxa"/>
          <w:left w:w="0" w:type="dxa"/>
          <w:bottom w:w="0" w:type="dxa"/>
          <w:right w:w="0" w:type="dxa"/>
        </w:tblCellMar>
      </w:tblPr>
      <w:tblGrid>
        <w:gridCol w:w="1625"/>
        <w:gridCol w:w="590"/>
        <w:gridCol w:w="3140"/>
      </w:tblGrid>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73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MOONLAKE IMMUNOTHERAPEUTICS</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73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14, 2026</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Matthias Bodenstedt                          </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Matthias Bodenstedt</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476</Words>
  <Characters>2647</Characters>
  <CharactersWithSpaces>3143</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